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FF1F28" w14:textId="245B3924" w:rsidR="003F5E77" w:rsidRPr="00A66DAB" w:rsidRDefault="003F5E77" w:rsidP="003F5E77">
      <w:pPr>
        <w:pStyle w:val="Header"/>
        <w:tabs>
          <w:tab w:val="right" w:pos="9639"/>
        </w:tabs>
        <w:jc w:val="both"/>
        <w:rPr>
          <w:rFonts w:cs="Arial"/>
          <w:bCs/>
          <w:i/>
          <w:noProof w:val="0"/>
          <w:sz w:val="32"/>
          <w:lang w:eastAsia="zh-CN"/>
        </w:rPr>
      </w:pPr>
      <w:r w:rsidRPr="00A66DAB">
        <w:rPr>
          <w:rFonts w:cs="Arial"/>
          <w:sz w:val="24"/>
          <w:lang w:eastAsia="zh-CN"/>
        </w:rPr>
        <w:t>3GPP T</w:t>
      </w:r>
      <w:bookmarkStart w:id="0" w:name="_Ref452454252"/>
      <w:bookmarkEnd w:id="0"/>
      <w:r w:rsidR="00E43E99">
        <w:rPr>
          <w:rFonts w:cs="Arial"/>
          <w:sz w:val="24"/>
          <w:lang w:eastAsia="zh-CN"/>
        </w:rPr>
        <w:t xml:space="preserve">SG RAN WG2 Meeting </w:t>
      </w:r>
      <w:r w:rsidR="00207D7F">
        <w:rPr>
          <w:rFonts w:cs="Arial"/>
          <w:sz w:val="24"/>
          <w:lang w:eastAsia="zh-CN"/>
        </w:rPr>
        <w:t>#99</w:t>
      </w:r>
      <w:r w:rsidR="00C570BF">
        <w:rPr>
          <w:rFonts w:cs="Arial"/>
          <w:sz w:val="24"/>
          <w:lang w:eastAsia="zh-CN"/>
        </w:rPr>
        <w:t>bis</w:t>
      </w:r>
      <w:r w:rsidR="00555CF9" w:rsidRPr="00A66DAB">
        <w:rPr>
          <w:rFonts w:cs="Arial"/>
          <w:bCs/>
          <w:noProof w:val="0"/>
          <w:sz w:val="24"/>
        </w:rPr>
        <w:t xml:space="preserve">                                                </w:t>
      </w:r>
      <w:r w:rsidR="00207D7F">
        <w:rPr>
          <w:rFonts w:cs="Arial"/>
          <w:bCs/>
          <w:noProof w:val="0"/>
          <w:sz w:val="24"/>
        </w:rPr>
        <w:t xml:space="preserve">          </w:t>
      </w:r>
      <w:r w:rsidR="008203D8" w:rsidRPr="008203D8">
        <w:rPr>
          <w:rFonts w:cs="Arial"/>
          <w:bCs/>
          <w:noProof w:val="0"/>
          <w:sz w:val="24"/>
        </w:rPr>
        <w:t>R2-17</w:t>
      </w:r>
      <w:r w:rsidR="00C570BF">
        <w:rPr>
          <w:rFonts w:cs="Arial"/>
          <w:bCs/>
          <w:noProof w:val="0"/>
          <w:sz w:val="24"/>
        </w:rPr>
        <w:t>10644</w:t>
      </w:r>
    </w:p>
    <w:p w14:paraId="6E5B34B2" w14:textId="2C7EAD9C" w:rsidR="003F5E77" w:rsidRPr="00A66DAB" w:rsidRDefault="00C570BF" w:rsidP="003F5E77">
      <w:pPr>
        <w:pStyle w:val="Header"/>
        <w:jc w:val="both"/>
        <w:rPr>
          <w:rFonts w:cs="Arial"/>
          <w:sz w:val="24"/>
          <w:lang w:eastAsia="zh-CN"/>
        </w:rPr>
      </w:pPr>
      <w:r w:rsidRPr="00C570BF">
        <w:rPr>
          <w:rFonts w:cs="Arial"/>
          <w:sz w:val="24"/>
          <w:szCs w:val="24"/>
          <w:bdr w:val="none" w:sz="0" w:space="0" w:color="auto" w:frame="1"/>
        </w:rPr>
        <w:t>Prague, Czech Republic, 9th – 13th October 2017</w:t>
      </w:r>
      <w:r w:rsidR="00ED5949">
        <w:rPr>
          <w:rFonts w:cs="Arial"/>
          <w:sz w:val="24"/>
          <w:lang w:eastAsia="zh-CN"/>
        </w:rPr>
        <w:t xml:space="preserve">    </w:t>
      </w:r>
      <w:r w:rsidR="00207D7F">
        <w:rPr>
          <w:rFonts w:cs="Arial"/>
          <w:sz w:val="24"/>
          <w:lang w:eastAsia="zh-CN"/>
        </w:rPr>
        <w:t xml:space="preserve">                            </w:t>
      </w:r>
      <w:r w:rsidR="00ED5949">
        <w:rPr>
          <w:rFonts w:cs="Arial"/>
          <w:sz w:val="24"/>
          <w:lang w:eastAsia="zh-CN"/>
        </w:rPr>
        <w:t xml:space="preserve">                                          </w:t>
      </w:r>
    </w:p>
    <w:p w14:paraId="3C01718C" w14:textId="77777777" w:rsidR="003F5E77" w:rsidRPr="00A66DAB" w:rsidRDefault="003F5E77" w:rsidP="003F5E77">
      <w:pPr>
        <w:pStyle w:val="Header"/>
        <w:jc w:val="both"/>
        <w:rPr>
          <w:rFonts w:cs="Arial"/>
          <w:bCs/>
          <w:noProof w:val="0"/>
          <w:sz w:val="24"/>
          <w:lang w:eastAsia="ja-JP"/>
        </w:rPr>
      </w:pPr>
    </w:p>
    <w:p w14:paraId="1E6DDC75" w14:textId="6D1E8FC8" w:rsidR="003F5E77" w:rsidRPr="00A66DAB" w:rsidRDefault="003F5E77" w:rsidP="003F5E77">
      <w:pPr>
        <w:pStyle w:val="CRCoverPage"/>
        <w:jc w:val="both"/>
        <w:rPr>
          <w:rFonts w:eastAsia="SimSun" w:cs="Arial"/>
          <w:b/>
          <w:bCs/>
          <w:sz w:val="24"/>
          <w:lang w:val="en-US" w:eastAsia="zh-CN"/>
        </w:rPr>
      </w:pPr>
      <w:r w:rsidRPr="00A66DAB">
        <w:rPr>
          <w:rFonts w:cs="Arial"/>
          <w:b/>
          <w:bCs/>
          <w:sz w:val="24"/>
          <w:lang w:val="en-US"/>
        </w:rPr>
        <w:t>Agenda item:</w:t>
      </w:r>
      <w:r w:rsidRPr="00A66DAB">
        <w:rPr>
          <w:rFonts w:cs="Arial"/>
          <w:b/>
          <w:bCs/>
          <w:sz w:val="24"/>
          <w:lang w:val="en-US"/>
        </w:rPr>
        <w:tab/>
      </w:r>
      <w:r w:rsidRPr="00A66DAB">
        <w:rPr>
          <w:rFonts w:cs="Arial"/>
          <w:b/>
          <w:bCs/>
          <w:sz w:val="24"/>
          <w:lang w:val="en-US"/>
        </w:rPr>
        <w:tab/>
      </w:r>
      <w:r w:rsidR="009F3171">
        <w:rPr>
          <w:rFonts w:cs="Arial"/>
          <w:bCs/>
          <w:sz w:val="24"/>
          <w:lang w:val="en-US"/>
        </w:rPr>
        <w:t>9.14.5</w:t>
      </w:r>
      <w:r w:rsidRPr="00A66DAB" w:rsidDel="00F41BC4">
        <w:rPr>
          <w:rFonts w:cs="Arial"/>
          <w:bCs/>
          <w:sz w:val="24"/>
          <w:lang w:val="en-US"/>
        </w:rPr>
        <w:t xml:space="preserve"> </w:t>
      </w:r>
    </w:p>
    <w:p w14:paraId="77AF2AC0" w14:textId="77777777" w:rsidR="003F5E77" w:rsidRPr="00A66DAB" w:rsidRDefault="003F5E77" w:rsidP="003F5E77">
      <w:pPr>
        <w:pStyle w:val="CRCoverPage"/>
        <w:jc w:val="both"/>
        <w:rPr>
          <w:rFonts w:cs="Arial"/>
          <w:bCs/>
          <w:sz w:val="24"/>
        </w:rPr>
      </w:pPr>
      <w:r w:rsidRPr="00A66DAB">
        <w:rPr>
          <w:rFonts w:cs="Arial"/>
          <w:b/>
          <w:bCs/>
          <w:sz w:val="24"/>
        </w:rPr>
        <w:t>Source:</w:t>
      </w:r>
      <w:r w:rsidRPr="00A66DAB">
        <w:rPr>
          <w:rFonts w:cs="Arial"/>
          <w:b/>
          <w:bCs/>
          <w:sz w:val="24"/>
        </w:rPr>
        <w:tab/>
      </w:r>
      <w:r w:rsidRPr="00A66DAB">
        <w:rPr>
          <w:rFonts w:cs="Arial"/>
          <w:b/>
          <w:bCs/>
          <w:sz w:val="24"/>
        </w:rPr>
        <w:tab/>
      </w:r>
      <w:r w:rsidRPr="00A66DAB">
        <w:rPr>
          <w:rFonts w:cs="Arial"/>
          <w:b/>
          <w:bCs/>
          <w:sz w:val="24"/>
        </w:rPr>
        <w:tab/>
      </w:r>
      <w:r w:rsidRPr="00A66DAB">
        <w:rPr>
          <w:rFonts w:cs="Arial"/>
          <w:bCs/>
          <w:sz w:val="24"/>
        </w:rPr>
        <w:t>Intel Corporation</w:t>
      </w:r>
    </w:p>
    <w:p w14:paraId="1607F513" w14:textId="3FA68E2E" w:rsidR="003F5E77" w:rsidRPr="00D034F3" w:rsidRDefault="003F5E77" w:rsidP="003F5E77">
      <w:pPr>
        <w:tabs>
          <w:tab w:val="left" w:pos="1985"/>
        </w:tabs>
        <w:ind w:left="2880" w:hanging="2880"/>
        <w:jc w:val="both"/>
        <w:rPr>
          <w:rFonts w:ascii="Arial" w:eastAsia="Malgun Gothic" w:hAnsi="Arial" w:cs="Arial"/>
          <w:bCs/>
          <w:sz w:val="24"/>
          <w:szCs w:val="24"/>
          <w:lang w:eastAsia="ko-KR"/>
        </w:rPr>
      </w:pPr>
      <w:r w:rsidRPr="00A66DAB">
        <w:rPr>
          <w:rFonts w:ascii="Arial" w:hAnsi="Arial" w:cs="Arial"/>
          <w:b/>
          <w:bCs/>
          <w:sz w:val="24"/>
        </w:rPr>
        <w:t>Title:</w:t>
      </w:r>
      <w:r w:rsidRPr="00A66DAB">
        <w:rPr>
          <w:rFonts w:ascii="Arial" w:hAnsi="Arial" w:cs="Arial"/>
          <w:bCs/>
          <w:sz w:val="24"/>
        </w:rPr>
        <w:tab/>
      </w:r>
      <w:r w:rsidRPr="00A66DAB">
        <w:rPr>
          <w:rFonts w:ascii="Arial" w:hAnsi="Arial" w:cs="Arial"/>
          <w:bCs/>
          <w:sz w:val="24"/>
        </w:rPr>
        <w:tab/>
      </w:r>
      <w:r w:rsidR="006C4093">
        <w:rPr>
          <w:rFonts w:ascii="Arial" w:hAnsi="Arial" w:cs="Arial"/>
          <w:bCs/>
          <w:sz w:val="24"/>
        </w:rPr>
        <w:t>CE level based access barring and load control</w:t>
      </w:r>
      <w:r w:rsidR="0010793F">
        <w:rPr>
          <w:rFonts w:ascii="Arial" w:hAnsi="Arial" w:cs="Arial"/>
          <w:bCs/>
          <w:sz w:val="24"/>
        </w:rPr>
        <w:t xml:space="preserve"> for </w:t>
      </w:r>
      <w:proofErr w:type="spellStart"/>
      <w:r w:rsidR="0010793F">
        <w:rPr>
          <w:rFonts w:ascii="Arial" w:hAnsi="Arial" w:cs="Arial"/>
          <w:bCs/>
          <w:sz w:val="24"/>
        </w:rPr>
        <w:t>eFeMTC</w:t>
      </w:r>
      <w:proofErr w:type="spellEnd"/>
      <w:r w:rsidR="0010793F">
        <w:rPr>
          <w:rFonts w:ascii="Arial" w:hAnsi="Arial" w:cs="Arial"/>
          <w:bCs/>
          <w:sz w:val="24"/>
        </w:rPr>
        <w:t xml:space="preserve"> </w:t>
      </w:r>
    </w:p>
    <w:p w14:paraId="4A518DFA" w14:textId="77777777" w:rsidR="003F5E77" w:rsidRPr="00A66DAB" w:rsidRDefault="003F5E77" w:rsidP="003F5E77">
      <w:pPr>
        <w:jc w:val="both"/>
        <w:rPr>
          <w:rFonts w:ascii="Arial" w:hAnsi="Arial" w:cs="Arial"/>
          <w:b/>
          <w:bCs/>
          <w:sz w:val="24"/>
          <w:lang w:eastAsia="zh-CN"/>
        </w:rPr>
      </w:pPr>
      <w:r w:rsidRPr="00A66DAB">
        <w:rPr>
          <w:rFonts w:ascii="Arial" w:hAnsi="Arial" w:cs="Arial"/>
          <w:b/>
          <w:bCs/>
          <w:sz w:val="24"/>
        </w:rPr>
        <w:t>Document for:</w:t>
      </w:r>
      <w:r w:rsidRPr="00A66DAB">
        <w:rPr>
          <w:rFonts w:ascii="Arial" w:hAnsi="Arial" w:cs="Arial"/>
          <w:b/>
          <w:bCs/>
          <w:sz w:val="24"/>
        </w:rPr>
        <w:tab/>
      </w:r>
      <w:r w:rsidRPr="00A66DAB">
        <w:rPr>
          <w:rFonts w:ascii="Arial" w:hAnsi="Arial" w:cs="Arial"/>
          <w:b/>
          <w:bCs/>
          <w:sz w:val="24"/>
        </w:rPr>
        <w:tab/>
      </w:r>
      <w:r w:rsidRPr="00A66DAB">
        <w:rPr>
          <w:rFonts w:ascii="Arial" w:hAnsi="Arial" w:cs="Arial"/>
          <w:bCs/>
          <w:sz w:val="24"/>
        </w:rPr>
        <w:t>Discussion and decision</w:t>
      </w:r>
    </w:p>
    <w:p w14:paraId="35C092E0" w14:textId="77777777" w:rsidR="003F5E77" w:rsidRDefault="003F5E77" w:rsidP="003F5E77">
      <w:pPr>
        <w:pStyle w:val="Heading1"/>
        <w:rPr>
          <w:rFonts w:cs="Arial"/>
        </w:rPr>
      </w:pPr>
      <w:bookmarkStart w:id="1" w:name="_Ref429645891"/>
      <w:r w:rsidRPr="00A66DAB">
        <w:rPr>
          <w:rFonts w:cs="Arial"/>
        </w:rPr>
        <w:t>Introduction</w:t>
      </w:r>
      <w:bookmarkEnd w:id="1"/>
    </w:p>
    <w:p w14:paraId="30ED5B9F" w14:textId="08A31BB0" w:rsidR="001B28D5" w:rsidRPr="003C4A73" w:rsidRDefault="001B28D5" w:rsidP="009F3171">
      <w:pPr>
        <w:rPr>
          <w:lang w:val="en-GB" w:eastAsia="x-none"/>
        </w:rPr>
      </w:pPr>
      <w:r>
        <w:rPr>
          <w:lang w:val="en-GB" w:eastAsia="x-none"/>
        </w:rPr>
        <w:t xml:space="preserve">In </w:t>
      </w:r>
      <w:r w:rsidR="00BA45F1">
        <w:rPr>
          <w:lang w:val="en-GB" w:eastAsia="x-none"/>
        </w:rPr>
        <w:t xml:space="preserve">RAN plenary, </w:t>
      </w:r>
      <w:r w:rsidR="006C4093">
        <w:rPr>
          <w:lang w:val="en-GB" w:eastAsia="x-none"/>
        </w:rPr>
        <w:t xml:space="preserve">the access/load control of the IDLE mode UEs in different CE levels are </w:t>
      </w:r>
      <w:r w:rsidR="008B6634">
        <w:rPr>
          <w:lang w:val="en-GB" w:eastAsia="x-none"/>
        </w:rPr>
        <w:t>approved as WI</w:t>
      </w:r>
      <w:r w:rsidR="00BA45F1">
        <w:rPr>
          <w:lang w:val="en-GB" w:eastAsia="x-none"/>
        </w:rPr>
        <w:t xml:space="preserve"> both for </w:t>
      </w:r>
      <w:proofErr w:type="spellStart"/>
      <w:r w:rsidR="00BA45F1">
        <w:rPr>
          <w:lang w:val="en-GB" w:eastAsia="x-none"/>
        </w:rPr>
        <w:t>feNB-IoT</w:t>
      </w:r>
      <w:proofErr w:type="spellEnd"/>
      <w:r w:rsidR="00BA45F1">
        <w:rPr>
          <w:lang w:val="en-GB" w:eastAsia="x-none"/>
        </w:rPr>
        <w:t xml:space="preserve"> [</w:t>
      </w:r>
      <w:r w:rsidR="00A264C8">
        <w:rPr>
          <w:lang w:val="en-GB" w:eastAsia="x-none"/>
        </w:rPr>
        <w:t>1</w:t>
      </w:r>
      <w:r w:rsidR="00BA45F1">
        <w:rPr>
          <w:lang w:val="en-GB" w:eastAsia="x-none"/>
        </w:rPr>
        <w:t xml:space="preserve">] and </w:t>
      </w:r>
      <w:proofErr w:type="spellStart"/>
      <w:r w:rsidR="00BA45F1">
        <w:rPr>
          <w:lang w:val="en-GB" w:eastAsia="x-none"/>
        </w:rPr>
        <w:t>efeMTC</w:t>
      </w:r>
      <w:proofErr w:type="spellEnd"/>
      <w:r w:rsidR="00BA45F1">
        <w:rPr>
          <w:lang w:val="en-GB" w:eastAsia="x-none"/>
        </w:rPr>
        <w:t xml:space="preserve"> [</w:t>
      </w:r>
      <w:r w:rsidR="00A264C8">
        <w:rPr>
          <w:lang w:val="en-GB" w:eastAsia="x-none"/>
        </w:rPr>
        <w:t>2</w:t>
      </w:r>
      <w:r w:rsidR="00BA45F1">
        <w:rPr>
          <w:lang w:val="en-GB" w:eastAsia="x-none"/>
        </w:rPr>
        <w:t>]</w:t>
      </w:r>
      <w:r w:rsidR="008B6634">
        <w:rPr>
          <w:lang w:val="en-GB" w:eastAsia="x-none"/>
        </w:rPr>
        <w:t xml:space="preserve">. The </w:t>
      </w:r>
      <w:r w:rsidR="006C4093">
        <w:rPr>
          <w:lang w:val="en-GB" w:eastAsia="x-none"/>
        </w:rPr>
        <w:t>UE</w:t>
      </w:r>
      <w:r w:rsidR="008B6634">
        <w:rPr>
          <w:lang w:val="en-GB" w:eastAsia="x-none"/>
        </w:rPr>
        <w:t>s</w:t>
      </w:r>
      <w:r w:rsidR="006C4093">
        <w:rPr>
          <w:lang w:val="en-GB" w:eastAsia="x-none"/>
        </w:rPr>
        <w:t xml:space="preserve"> in higher CE level requires more resources than in a lower CE level, however, currently their chance of getting the resources is same. In this contribution, we discuss the possibility of controlling the UEs load </w:t>
      </w:r>
      <w:r w:rsidR="008B6634">
        <w:rPr>
          <w:lang w:val="en-GB" w:eastAsia="x-none"/>
        </w:rPr>
        <w:t>based on their operation in the coverage enhancement</w:t>
      </w:r>
      <w:r w:rsidR="006C4093">
        <w:rPr>
          <w:lang w:val="en-GB" w:eastAsia="x-none"/>
        </w:rPr>
        <w:t>.</w:t>
      </w:r>
    </w:p>
    <w:p w14:paraId="37CF7A29" w14:textId="77777777" w:rsidR="003F5E77" w:rsidRDefault="003F5E77" w:rsidP="003F5E77">
      <w:pPr>
        <w:pStyle w:val="Heading1"/>
        <w:rPr>
          <w:rFonts w:cs="Arial"/>
        </w:rPr>
      </w:pPr>
      <w:bookmarkStart w:id="2" w:name="Proposal_Pattern_Length"/>
      <w:r w:rsidRPr="00A66DAB">
        <w:rPr>
          <w:rFonts w:cs="Arial"/>
        </w:rPr>
        <w:t>Discussion</w:t>
      </w:r>
    </w:p>
    <w:p w14:paraId="7F4B5A0C" w14:textId="1A75E9EB" w:rsidR="0017777F" w:rsidRDefault="001B16E4" w:rsidP="006C4093">
      <w:pPr>
        <w:pStyle w:val="Heading2"/>
      </w:pPr>
      <w:r>
        <w:t>CE-based</w:t>
      </w:r>
      <w:r w:rsidR="0017777F">
        <w:t xml:space="preserve"> Access bar</w:t>
      </w:r>
      <w:r w:rsidR="003B5B64">
        <w:t>ring</w:t>
      </w:r>
    </w:p>
    <w:p w14:paraId="50DBFF8E" w14:textId="56FD789B" w:rsidR="0017777F" w:rsidRDefault="0017777F" w:rsidP="0017777F">
      <w:pPr>
        <w:rPr>
          <w:lang w:val="en-GB" w:eastAsia="x-none"/>
        </w:rPr>
      </w:pPr>
      <w:r>
        <w:rPr>
          <w:lang w:val="en-GB" w:eastAsia="x-none"/>
        </w:rPr>
        <w:t xml:space="preserve">Currently network has extended access barring (EAB) mechanism to </w:t>
      </w:r>
      <w:r w:rsidR="00BE29B1">
        <w:rPr>
          <w:lang w:val="en-GB" w:eastAsia="x-none"/>
        </w:rPr>
        <w:t>control</w:t>
      </w:r>
      <w:r>
        <w:rPr>
          <w:lang w:val="en-GB" w:eastAsia="x-none"/>
        </w:rPr>
        <w:t xml:space="preserve"> </w:t>
      </w:r>
      <w:r w:rsidR="00BE29B1">
        <w:rPr>
          <w:lang w:val="en-GB" w:eastAsia="x-none"/>
        </w:rPr>
        <w:t>mobile originating access attempts from the EAB enabled UEs</w:t>
      </w:r>
      <w:r>
        <w:rPr>
          <w:lang w:val="en-GB" w:eastAsia="x-none"/>
        </w:rPr>
        <w:t xml:space="preserve"> based on </w:t>
      </w:r>
      <w:r w:rsidR="001D74E2">
        <w:rPr>
          <w:lang w:val="en-GB" w:eastAsia="x-none"/>
        </w:rPr>
        <w:t>UE’s</w:t>
      </w:r>
      <w:r>
        <w:rPr>
          <w:lang w:val="en-GB" w:eastAsia="x-none"/>
        </w:rPr>
        <w:t xml:space="preserve"> access class and </w:t>
      </w:r>
      <w:r w:rsidR="001D74E2">
        <w:rPr>
          <w:lang w:val="en-GB" w:eastAsia="x-none"/>
        </w:rPr>
        <w:t xml:space="preserve">registered </w:t>
      </w:r>
      <w:r>
        <w:rPr>
          <w:lang w:val="en-GB" w:eastAsia="x-none"/>
        </w:rPr>
        <w:t xml:space="preserve">PLMN. When network is congested </w:t>
      </w:r>
      <w:r w:rsidR="003B5B64">
        <w:rPr>
          <w:lang w:val="en-GB" w:eastAsia="x-none"/>
        </w:rPr>
        <w:t>or</w:t>
      </w:r>
      <w:r>
        <w:rPr>
          <w:lang w:val="en-GB" w:eastAsia="x-none"/>
        </w:rPr>
        <w:t xml:space="preserve"> it cannot admit more UEs, it may enable the EAB for </w:t>
      </w:r>
      <w:r w:rsidR="001D74E2">
        <w:rPr>
          <w:lang w:val="en-GB" w:eastAsia="x-none"/>
        </w:rPr>
        <w:t>b</w:t>
      </w:r>
      <w:r w:rsidR="00C820B0">
        <w:rPr>
          <w:lang w:val="en-GB" w:eastAsia="x-none"/>
        </w:rPr>
        <w:t>arr</w:t>
      </w:r>
      <w:r w:rsidR="001D74E2">
        <w:rPr>
          <w:lang w:val="en-GB" w:eastAsia="x-none"/>
        </w:rPr>
        <w:t xml:space="preserve">ing </w:t>
      </w:r>
      <w:r>
        <w:rPr>
          <w:lang w:val="en-GB" w:eastAsia="x-none"/>
        </w:rPr>
        <w:t xml:space="preserve">certain </w:t>
      </w:r>
      <w:r w:rsidR="001D74E2">
        <w:rPr>
          <w:lang w:val="en-GB" w:eastAsia="x-none"/>
        </w:rPr>
        <w:t xml:space="preserve">access </w:t>
      </w:r>
      <w:r>
        <w:rPr>
          <w:lang w:val="en-GB" w:eastAsia="x-none"/>
        </w:rPr>
        <w:t xml:space="preserve">class of </w:t>
      </w:r>
      <w:r w:rsidR="00BE29B1">
        <w:rPr>
          <w:lang w:val="en-GB" w:eastAsia="x-none"/>
        </w:rPr>
        <w:t xml:space="preserve">EAB enabled </w:t>
      </w:r>
      <w:r>
        <w:rPr>
          <w:lang w:val="en-GB" w:eastAsia="x-none"/>
        </w:rPr>
        <w:t>UEs</w:t>
      </w:r>
      <w:r w:rsidR="00BE29B1">
        <w:rPr>
          <w:lang w:val="en-GB" w:eastAsia="x-none"/>
        </w:rPr>
        <w:t xml:space="preserve"> to prevent the overload</w:t>
      </w:r>
      <w:r>
        <w:rPr>
          <w:lang w:val="en-GB" w:eastAsia="x-none"/>
        </w:rPr>
        <w:t xml:space="preserve">. However, it cannot bar the UEs based on their CE level. The resources consumed by the UEs in higher coverage level is more than the UEs in normal coverage but their chance of accessing the cell is same. </w:t>
      </w:r>
      <w:r w:rsidR="00BE29B1">
        <w:rPr>
          <w:lang w:val="en-GB" w:eastAsia="x-none"/>
        </w:rPr>
        <w:t>For this purpose, the current EAB mechanism can be optimized or a new CE level based access barring mechanism can be introduced.</w:t>
      </w:r>
      <w:r w:rsidR="001D74E2">
        <w:rPr>
          <w:lang w:val="en-GB" w:eastAsia="x-none"/>
        </w:rPr>
        <w:t>by taking into consideration of the UE’s coverage level.</w:t>
      </w:r>
    </w:p>
    <w:p w14:paraId="4AE8DE88" w14:textId="5B386F83" w:rsidR="00BE29B1" w:rsidRDefault="00BE29B1" w:rsidP="00BE29B1">
      <w:pPr>
        <w:pStyle w:val="Observationstyle"/>
        <w:rPr>
          <w:lang w:val="en-GB"/>
        </w:rPr>
      </w:pPr>
      <w:bookmarkStart w:id="3" w:name="_Toc494227028"/>
      <w:bookmarkStart w:id="4" w:name="_Toc494227383"/>
      <w:bookmarkStart w:id="5" w:name="_Toc494227391"/>
      <w:bookmarkStart w:id="6" w:name="_Toc494326683"/>
      <w:bookmarkStart w:id="7" w:name="_Toc494380690"/>
      <w:bookmarkStart w:id="8" w:name="_Toc494396165"/>
      <w:bookmarkStart w:id="9" w:name="_Toc494404360"/>
      <w:r>
        <w:rPr>
          <w:lang w:val="en-GB"/>
        </w:rPr>
        <w:t>Network can prevent the overload from the UEs in higher CE level by optimizing the current EAB mechanism or defining a new CE level based access barring mechanism.</w:t>
      </w:r>
      <w:bookmarkEnd w:id="3"/>
      <w:bookmarkEnd w:id="4"/>
      <w:bookmarkEnd w:id="5"/>
      <w:bookmarkEnd w:id="6"/>
      <w:bookmarkEnd w:id="7"/>
      <w:bookmarkEnd w:id="8"/>
      <w:bookmarkEnd w:id="9"/>
    </w:p>
    <w:p w14:paraId="218089F0" w14:textId="3CD9763D" w:rsidR="00BE29B1" w:rsidRDefault="00BE29B1" w:rsidP="0017777F">
      <w:pPr>
        <w:rPr>
          <w:lang w:val="en-GB" w:eastAsia="x-none"/>
        </w:rPr>
      </w:pPr>
      <w:r>
        <w:rPr>
          <w:lang w:val="en-GB" w:eastAsia="x-none"/>
        </w:rPr>
        <w:t xml:space="preserve">It can also be argued that if network keeps barring the UEs in higher CE level, it may not be fair for the UEs which are located mostly in the cell edge or in deep coverage. Such issue may not be significant because a probability factor needs to be introduced for the CE level access barring mechanism where the UEs in higher CE level will have only lower chance to access the cell. </w:t>
      </w:r>
    </w:p>
    <w:p w14:paraId="788B12BD" w14:textId="2AC35132" w:rsidR="003B5B64" w:rsidRDefault="003B5B64" w:rsidP="003B5B64">
      <w:pPr>
        <w:pStyle w:val="Observationstyle"/>
        <w:rPr>
          <w:lang w:val="en-GB"/>
        </w:rPr>
      </w:pPr>
      <w:bookmarkStart w:id="10" w:name="_Toc494227029"/>
      <w:bookmarkStart w:id="11" w:name="_Toc494227384"/>
      <w:bookmarkStart w:id="12" w:name="_Toc494227392"/>
      <w:bookmarkStart w:id="13" w:name="_Toc494326684"/>
      <w:bookmarkStart w:id="14" w:name="_Toc494380691"/>
      <w:bookmarkStart w:id="15" w:name="_Toc494396166"/>
      <w:bookmarkStart w:id="16" w:name="_Toc494404361"/>
      <w:r>
        <w:rPr>
          <w:lang w:val="en-GB"/>
        </w:rPr>
        <w:t xml:space="preserve">UEs in higher CE level </w:t>
      </w:r>
      <w:r w:rsidR="00924CCE">
        <w:rPr>
          <w:lang w:val="en-GB"/>
        </w:rPr>
        <w:t xml:space="preserve">may </w:t>
      </w:r>
      <w:r>
        <w:rPr>
          <w:lang w:val="en-GB"/>
        </w:rPr>
        <w:t xml:space="preserve">have higher probability of </w:t>
      </w:r>
      <w:r w:rsidR="00924CCE">
        <w:rPr>
          <w:lang w:val="en-GB"/>
        </w:rPr>
        <w:t xml:space="preserve">getting </w:t>
      </w:r>
      <w:r>
        <w:rPr>
          <w:lang w:val="en-GB"/>
        </w:rPr>
        <w:t>barr</w:t>
      </w:r>
      <w:r w:rsidR="00924CCE">
        <w:rPr>
          <w:lang w:val="en-GB"/>
        </w:rPr>
        <w:t>ed</w:t>
      </w:r>
      <w:r>
        <w:rPr>
          <w:lang w:val="en-GB"/>
        </w:rPr>
        <w:t xml:space="preserve"> from</w:t>
      </w:r>
      <w:r w:rsidR="00924CCE">
        <w:rPr>
          <w:lang w:val="en-GB"/>
        </w:rPr>
        <w:t xml:space="preserve"> making</w:t>
      </w:r>
      <w:r>
        <w:rPr>
          <w:lang w:val="en-GB"/>
        </w:rPr>
        <w:t xml:space="preserve"> mobile originating access attempts.</w:t>
      </w:r>
      <w:bookmarkEnd w:id="10"/>
      <w:bookmarkEnd w:id="11"/>
      <w:bookmarkEnd w:id="12"/>
      <w:bookmarkEnd w:id="13"/>
      <w:bookmarkEnd w:id="14"/>
      <w:bookmarkEnd w:id="15"/>
      <w:bookmarkEnd w:id="16"/>
    </w:p>
    <w:p w14:paraId="4CB0CE47" w14:textId="2A6B850D" w:rsidR="001B16E4" w:rsidRDefault="001B16E4" w:rsidP="001B16E4">
      <w:pPr>
        <w:rPr>
          <w:lang w:val="en-GB" w:eastAsia="x-none"/>
        </w:rPr>
      </w:pPr>
      <w:r>
        <w:rPr>
          <w:lang w:val="en-GB" w:eastAsia="x-none"/>
        </w:rPr>
        <w:t>Also based on the subscription or the mobility status of the UE, the CE level access barring can be disabled for certain UEs. Also for a certain access class UEs in higher CE level or UEs in home PLMN may not be barred from the cell. The UE can be barred for a particular access class and PLMN. However, this may not be applicable for the emergency access class 10. Similar to the EAB mechanism, the CE-based access barring capable UEs</w:t>
      </w:r>
      <w:r w:rsidRPr="001B16E4">
        <w:rPr>
          <w:lang w:val="en-GB" w:eastAsia="x-none"/>
        </w:rPr>
        <w:t xml:space="preserve"> may be configured by the HPLMN with a permission to override </w:t>
      </w:r>
      <w:r>
        <w:rPr>
          <w:lang w:val="en-GB" w:eastAsia="x-none"/>
        </w:rPr>
        <w:t xml:space="preserve">the CE-based access barring. </w:t>
      </w:r>
    </w:p>
    <w:p w14:paraId="79DC09ED" w14:textId="584D4EF5" w:rsidR="001B16E4" w:rsidRDefault="001B16E4" w:rsidP="009E0979">
      <w:pPr>
        <w:pStyle w:val="Observationstyle"/>
      </w:pPr>
      <w:bookmarkStart w:id="17" w:name="_Toc494227030"/>
      <w:bookmarkStart w:id="18" w:name="_Toc494227385"/>
      <w:bookmarkStart w:id="19" w:name="_Toc494227393"/>
      <w:bookmarkStart w:id="20" w:name="_Toc494326685"/>
      <w:bookmarkStart w:id="21" w:name="_Toc494380692"/>
      <w:bookmarkStart w:id="22" w:name="_Toc494396167"/>
      <w:bookmarkStart w:id="23" w:name="_Toc494404362"/>
      <w:r w:rsidRPr="001B16E4">
        <w:t xml:space="preserve">The CE-based access barring capable UEs may be configured by the HPLMN with a permission to override </w:t>
      </w:r>
      <w:r w:rsidR="009E0979">
        <w:t>the CE-based access barring however it is not in the scope of RAN2.</w:t>
      </w:r>
      <w:bookmarkEnd w:id="17"/>
      <w:bookmarkEnd w:id="18"/>
      <w:bookmarkEnd w:id="19"/>
      <w:bookmarkEnd w:id="20"/>
      <w:bookmarkEnd w:id="21"/>
      <w:bookmarkEnd w:id="22"/>
      <w:bookmarkEnd w:id="23"/>
    </w:p>
    <w:p w14:paraId="5BF6B318" w14:textId="369237DC" w:rsidR="009E0979" w:rsidRDefault="001D74E2" w:rsidP="009E0979">
      <w:pPr>
        <w:pStyle w:val="Recommend-1"/>
        <w:rPr>
          <w:lang w:val="en-GB"/>
        </w:rPr>
      </w:pPr>
      <w:bookmarkStart w:id="24" w:name="_Toc494227032"/>
      <w:bookmarkStart w:id="25" w:name="_Toc494227395"/>
      <w:bookmarkStart w:id="26" w:name="_Toc494380694"/>
      <w:bookmarkStart w:id="27" w:name="_Toc494326687"/>
      <w:bookmarkStart w:id="28" w:name="_Toc494396169"/>
      <w:bookmarkStart w:id="29" w:name="_Toc494404364"/>
      <w:r>
        <w:rPr>
          <w:lang w:val="en-GB"/>
        </w:rPr>
        <w:t>A</w:t>
      </w:r>
      <w:r w:rsidR="009E0979">
        <w:rPr>
          <w:lang w:val="en-GB"/>
        </w:rPr>
        <w:t>ccess barring</w:t>
      </w:r>
      <w:r>
        <w:rPr>
          <w:lang w:val="en-GB"/>
        </w:rPr>
        <w:t xml:space="preserve"> based on CE level</w:t>
      </w:r>
      <w:r w:rsidR="009E0979">
        <w:rPr>
          <w:lang w:val="en-GB"/>
        </w:rPr>
        <w:t xml:space="preserve"> to control mobile originating access attempts is supported</w:t>
      </w:r>
      <w:bookmarkEnd w:id="24"/>
      <w:bookmarkEnd w:id="25"/>
      <w:bookmarkEnd w:id="26"/>
      <w:bookmarkEnd w:id="27"/>
      <w:bookmarkEnd w:id="28"/>
      <w:bookmarkEnd w:id="29"/>
    </w:p>
    <w:p w14:paraId="389B91F2" w14:textId="433AC5E2" w:rsidR="001B16E4" w:rsidRDefault="001B16E4" w:rsidP="006C4093">
      <w:pPr>
        <w:pStyle w:val="Heading2"/>
      </w:pPr>
      <w:r>
        <w:lastRenderedPageBreak/>
        <w:t>CE level determination</w:t>
      </w:r>
    </w:p>
    <w:p w14:paraId="21A54FCC" w14:textId="77777777" w:rsidR="001B16E4" w:rsidRDefault="001B16E4" w:rsidP="001B16E4">
      <w:pPr>
        <w:rPr>
          <w:lang w:val="en-GB" w:eastAsia="x-none"/>
        </w:rPr>
      </w:pPr>
      <w:r>
        <w:rPr>
          <w:lang w:val="en-GB" w:eastAsia="x-none"/>
        </w:rPr>
        <w:t>When a BL UE or UE in CE is in IDLE mode, it cannot determine whether it will operate in CE mode A or CE mode B. However, a BL UE or UE in CE or NB-</w:t>
      </w:r>
      <w:proofErr w:type="spellStart"/>
      <w:r>
        <w:rPr>
          <w:lang w:val="en-GB" w:eastAsia="x-none"/>
        </w:rPr>
        <w:t>IoT</w:t>
      </w:r>
      <w:proofErr w:type="spellEnd"/>
      <w:r>
        <w:rPr>
          <w:lang w:val="en-GB" w:eastAsia="x-none"/>
        </w:rPr>
        <w:t xml:space="preserve"> UE is configured to determine its CE level before transmitting the preambles during the random access process. A UE measures the serving cell RSRP and determines the CE level based on the threshold </w:t>
      </w:r>
      <w:proofErr w:type="spellStart"/>
      <w:r>
        <w:rPr>
          <w:b/>
          <w:bCs/>
          <w:i/>
          <w:iCs/>
        </w:rPr>
        <w:t>rsrp-ThresholdsPrachInfoList</w:t>
      </w:r>
      <w:proofErr w:type="spellEnd"/>
      <w:r>
        <w:rPr>
          <w:lang w:val="en-GB" w:eastAsia="x-none"/>
        </w:rPr>
        <w:t xml:space="preserve"> broadcast in SIB2. For each CE level, different PRACH configuration is provided to UE using </w:t>
      </w:r>
      <w:proofErr w:type="spellStart"/>
      <w:r>
        <w:rPr>
          <w:b/>
          <w:bCs/>
          <w:i/>
          <w:iCs/>
        </w:rPr>
        <w:t>prach-ParametersListCE</w:t>
      </w:r>
      <w:proofErr w:type="spellEnd"/>
      <w:r>
        <w:rPr>
          <w:lang w:val="en-GB" w:eastAsia="x-none"/>
        </w:rPr>
        <w:t xml:space="preserve">. For BL UEs or UEs in CE, it may be assumed that CE mode </w:t>
      </w:r>
      <w:proofErr w:type="gramStart"/>
      <w:r>
        <w:rPr>
          <w:lang w:val="en-GB" w:eastAsia="x-none"/>
        </w:rPr>
        <w:t>A</w:t>
      </w:r>
      <w:proofErr w:type="gramEnd"/>
      <w:r>
        <w:rPr>
          <w:lang w:val="en-GB" w:eastAsia="x-none"/>
        </w:rPr>
        <w:t xml:space="preserve"> operation is for CE level 0 and 1 and in CE mode B operation is for CE level 2 and 3. It is likely that the UE in CE mode B that determines the CE level to be 3 consumes more resources that the UE in CE mode B that determines the CE level to be 2.  </w:t>
      </w:r>
    </w:p>
    <w:p w14:paraId="06AE1155" w14:textId="7E974AFA" w:rsidR="001B16E4" w:rsidRDefault="001B16E4" w:rsidP="001B16E4">
      <w:pPr>
        <w:pStyle w:val="Recommend-1"/>
        <w:rPr>
          <w:lang w:val="en-GB"/>
        </w:rPr>
      </w:pPr>
      <w:bookmarkStart w:id="30" w:name="_Toc494227033"/>
      <w:bookmarkStart w:id="31" w:name="_Toc494227396"/>
      <w:bookmarkStart w:id="32" w:name="_Toc494326688"/>
      <w:bookmarkStart w:id="33" w:name="_Toc494380695"/>
      <w:bookmarkStart w:id="34" w:name="_Toc494396170"/>
      <w:bookmarkStart w:id="35" w:name="_Toc494404365"/>
      <w:r>
        <w:rPr>
          <w:lang w:val="en-GB"/>
        </w:rPr>
        <w:t xml:space="preserve">The CE level at which a UE determines to start random access is </w:t>
      </w:r>
      <w:r w:rsidR="00913B9E">
        <w:rPr>
          <w:lang w:val="en-GB"/>
        </w:rPr>
        <w:t>used</w:t>
      </w:r>
      <w:r>
        <w:rPr>
          <w:lang w:val="en-GB"/>
        </w:rPr>
        <w:t xml:space="preserve"> </w:t>
      </w:r>
      <w:r w:rsidR="00913B9E">
        <w:rPr>
          <w:lang w:val="en-GB"/>
        </w:rPr>
        <w:t>by the CE-based access barring capable UEs</w:t>
      </w:r>
      <w:r w:rsidR="00913B9E">
        <w:rPr>
          <w:lang w:val="en-GB"/>
        </w:rPr>
        <w:t xml:space="preserve"> </w:t>
      </w:r>
      <w:r>
        <w:rPr>
          <w:lang w:val="en-GB"/>
        </w:rPr>
        <w:t>to check whether or not cell is barred.</w:t>
      </w:r>
      <w:bookmarkEnd w:id="30"/>
      <w:bookmarkEnd w:id="31"/>
      <w:bookmarkEnd w:id="32"/>
      <w:bookmarkEnd w:id="33"/>
      <w:bookmarkEnd w:id="34"/>
      <w:bookmarkEnd w:id="35"/>
    </w:p>
    <w:p w14:paraId="4D7750C7" w14:textId="70E90225" w:rsidR="001B16E4" w:rsidRDefault="001B16E4" w:rsidP="001B16E4">
      <w:pPr>
        <w:rPr>
          <w:lang w:val="en-GB"/>
        </w:rPr>
      </w:pPr>
      <w:r>
        <w:rPr>
          <w:lang w:val="en-GB"/>
        </w:rPr>
        <w:t xml:space="preserve">Suppose CE level 1 and 3 are not barred but CE level 2 is barred in the cell and a UE is in CE level 1. If a UE’s attempt to the random access at CE level 1 fails, it can be allowed to re-attempt the random access in CE level 3 skipping the CE level 2 which is barred in the cell. However, to reduce the impact in random access procedure, a UE can follow the legacy behaviour. </w:t>
      </w:r>
    </w:p>
    <w:p w14:paraId="7562B9CE" w14:textId="76FE61A6" w:rsidR="001B16E4" w:rsidRPr="00992AAE" w:rsidRDefault="001B16E4" w:rsidP="001B16E4">
      <w:pPr>
        <w:pStyle w:val="Recommend-1"/>
      </w:pPr>
      <w:bookmarkStart w:id="36" w:name="_Toc494227034"/>
      <w:bookmarkStart w:id="37" w:name="_Toc494227397"/>
      <w:bookmarkStart w:id="38" w:name="_Toc494326689"/>
      <w:bookmarkStart w:id="39" w:name="_Toc494380696"/>
      <w:bookmarkStart w:id="40" w:name="_Toc494396171"/>
      <w:bookmarkStart w:id="41" w:name="_Toc494404366"/>
      <w:r>
        <w:t xml:space="preserve">A CE-based access barring capable UE follows the normal random access procedure </w:t>
      </w:r>
      <w:r w:rsidR="009E0979">
        <w:t>once it determine</w:t>
      </w:r>
      <w:r w:rsidR="00924CCE">
        <w:t>s</w:t>
      </w:r>
      <w:r w:rsidR="009E0979">
        <w:t xml:space="preserve"> the cell is not barred</w:t>
      </w:r>
      <w:r w:rsidRPr="00992AAE">
        <w:t>.</w:t>
      </w:r>
      <w:bookmarkEnd w:id="36"/>
      <w:bookmarkEnd w:id="37"/>
      <w:bookmarkEnd w:id="38"/>
      <w:bookmarkEnd w:id="39"/>
      <w:bookmarkEnd w:id="40"/>
      <w:bookmarkEnd w:id="41"/>
    </w:p>
    <w:p w14:paraId="018144A1" w14:textId="676C9C30" w:rsidR="006C4093" w:rsidRDefault="001B16E4" w:rsidP="006C4093">
      <w:pPr>
        <w:pStyle w:val="Heading2"/>
      </w:pPr>
      <w:r>
        <w:t>Access barring notification</w:t>
      </w:r>
    </w:p>
    <w:p w14:paraId="746A44E1" w14:textId="3C303880" w:rsidR="009E0979" w:rsidRDefault="009E0979" w:rsidP="009E0979">
      <w:pPr>
        <w:rPr>
          <w:lang w:val="en-GB" w:eastAsia="x-none"/>
        </w:rPr>
      </w:pPr>
      <w:r>
        <w:rPr>
          <w:lang w:val="en-GB" w:eastAsia="x-none"/>
        </w:rPr>
        <w:t>The EAB parameters are broadcast in the SIB-14. If SIB-14 is scheduled in the SIB1-BR, UE acquires the SIB-14 to check if the cell is barred or not. Also when there is change in EAB parameters, the network can notify UEs of this change using the direct indication message in the paging. Similarly for the CE-based access barring mechanism, the parameters can be broadcast in SIB-14 and same mechanism of change notification can be used.</w:t>
      </w:r>
    </w:p>
    <w:p w14:paraId="2BE17143" w14:textId="20F44ECF" w:rsidR="009E0979" w:rsidRPr="009E0979" w:rsidRDefault="009E0979" w:rsidP="009E0979">
      <w:pPr>
        <w:pStyle w:val="Observationstyle"/>
        <w:rPr>
          <w:lang w:val="en-GB"/>
        </w:rPr>
      </w:pPr>
      <w:bookmarkStart w:id="42" w:name="_Toc494227031"/>
      <w:bookmarkStart w:id="43" w:name="_Toc494227386"/>
      <w:bookmarkStart w:id="44" w:name="_Toc494227394"/>
      <w:bookmarkStart w:id="45" w:name="_Toc494326686"/>
      <w:bookmarkStart w:id="46" w:name="_Toc494380693"/>
      <w:bookmarkStart w:id="47" w:name="_Toc494396168"/>
      <w:bookmarkStart w:id="48" w:name="_Toc494404363"/>
      <w:r>
        <w:rPr>
          <w:lang w:val="en-GB"/>
        </w:rPr>
        <w:t>Similar mechanism to that of EAB can be used for broadcasting the parameters and informing the change notification for the CE-based access barring mechanism.</w:t>
      </w:r>
      <w:bookmarkEnd w:id="42"/>
      <w:bookmarkEnd w:id="43"/>
      <w:bookmarkEnd w:id="44"/>
      <w:bookmarkEnd w:id="45"/>
      <w:bookmarkEnd w:id="46"/>
      <w:bookmarkEnd w:id="47"/>
      <w:bookmarkEnd w:id="48"/>
    </w:p>
    <w:p w14:paraId="11D79FA6" w14:textId="7FBF4FB7" w:rsidR="00E70FAB" w:rsidRDefault="00E70FAB" w:rsidP="004C5A46">
      <w:pPr>
        <w:rPr>
          <w:lang w:val="en-GB" w:eastAsia="x-none"/>
        </w:rPr>
      </w:pPr>
      <w:r>
        <w:rPr>
          <w:lang w:val="en-GB" w:eastAsia="x-none"/>
        </w:rPr>
        <w:t>Since common information of the cell barred or not is indicated in SIB1</w:t>
      </w:r>
      <w:r w:rsidR="008B6634">
        <w:rPr>
          <w:lang w:val="en-GB" w:eastAsia="x-none"/>
        </w:rPr>
        <w:t>-BR</w:t>
      </w:r>
      <w:r>
        <w:rPr>
          <w:lang w:val="en-GB" w:eastAsia="x-none"/>
        </w:rPr>
        <w:t>, the access barring</w:t>
      </w:r>
      <w:r w:rsidR="002A5DA7">
        <w:rPr>
          <w:lang w:val="en-GB" w:eastAsia="x-none"/>
        </w:rPr>
        <w:t xml:space="preserve"> or restriction</w:t>
      </w:r>
      <w:r>
        <w:rPr>
          <w:lang w:val="en-GB" w:eastAsia="x-none"/>
        </w:rPr>
        <w:t xml:space="preserve"> per CE level can also be indicated in the SIB1</w:t>
      </w:r>
      <w:r w:rsidR="008B6634">
        <w:rPr>
          <w:lang w:val="en-GB" w:eastAsia="x-none"/>
        </w:rPr>
        <w:t>-BR</w:t>
      </w:r>
      <w:r>
        <w:rPr>
          <w:lang w:val="en-GB" w:eastAsia="x-none"/>
        </w:rPr>
        <w:t xml:space="preserve">. </w:t>
      </w:r>
      <w:r w:rsidR="002A5DA7">
        <w:rPr>
          <w:lang w:val="en-GB" w:eastAsia="x-none"/>
        </w:rPr>
        <w:t>Though it can be broadcast in</w:t>
      </w:r>
      <w:r w:rsidR="008B6634">
        <w:rPr>
          <w:lang w:val="en-GB" w:eastAsia="x-none"/>
        </w:rPr>
        <w:t xml:space="preserve"> the BR version of</w:t>
      </w:r>
      <w:r w:rsidR="002A5DA7">
        <w:rPr>
          <w:lang w:val="en-GB" w:eastAsia="x-none"/>
        </w:rPr>
        <w:t xml:space="preserve"> SIB2 or SIB14, a</w:t>
      </w:r>
      <w:r>
        <w:rPr>
          <w:lang w:val="en-GB" w:eastAsia="x-none"/>
        </w:rPr>
        <w:t xml:space="preserve"> benefit of using SIB1</w:t>
      </w:r>
      <w:r w:rsidR="008B6634">
        <w:rPr>
          <w:lang w:val="en-GB" w:eastAsia="x-none"/>
        </w:rPr>
        <w:t>-BR</w:t>
      </w:r>
      <w:r>
        <w:rPr>
          <w:lang w:val="en-GB" w:eastAsia="x-none"/>
        </w:rPr>
        <w:t xml:space="preserve"> is that if the cell is barred, the UE may not need to read further system information.</w:t>
      </w:r>
    </w:p>
    <w:p w14:paraId="5E2AC5DA" w14:textId="49E63CFE" w:rsidR="009E0979" w:rsidRDefault="009E0979" w:rsidP="004C5A46">
      <w:pPr>
        <w:rPr>
          <w:lang w:val="en-GB" w:eastAsia="x-none"/>
        </w:rPr>
      </w:pPr>
      <w:r>
        <w:rPr>
          <w:lang w:val="en-GB" w:eastAsia="x-none"/>
        </w:rPr>
        <w:t xml:space="preserve">A challenge of using SIB1-BR and SIB-14 is that values of RSRP thresholds </w:t>
      </w:r>
      <w:proofErr w:type="spellStart"/>
      <w:r>
        <w:rPr>
          <w:b/>
          <w:bCs/>
          <w:i/>
          <w:iCs/>
        </w:rPr>
        <w:t>rsrp-ThresholdsPrachInfoList</w:t>
      </w:r>
      <w:proofErr w:type="spellEnd"/>
      <w:r>
        <w:rPr>
          <w:lang w:val="en-GB" w:eastAsia="x-none"/>
        </w:rPr>
        <w:t xml:space="preserve"> are broadcast in SIB2 and UE may have</w:t>
      </w:r>
      <w:r w:rsidR="00090451">
        <w:rPr>
          <w:lang w:val="en-GB" w:eastAsia="x-none"/>
        </w:rPr>
        <w:t xml:space="preserve"> to</w:t>
      </w:r>
      <w:r>
        <w:rPr>
          <w:lang w:val="en-GB" w:eastAsia="x-none"/>
        </w:rPr>
        <w:t xml:space="preserve"> acquire the BR version of the SIB2 before it can determine the CE level at which it needs to start the RACH process. However, if UE determines the stored SIB2 is valid and there is no change in the system information, it can use the stored value of </w:t>
      </w:r>
      <w:proofErr w:type="spellStart"/>
      <w:r>
        <w:rPr>
          <w:b/>
          <w:bCs/>
          <w:i/>
          <w:iCs/>
        </w:rPr>
        <w:t>rsrp-ThresholdsPrachInfoList</w:t>
      </w:r>
      <w:proofErr w:type="spellEnd"/>
      <w:r>
        <w:rPr>
          <w:lang w:val="en-GB" w:eastAsia="x-none"/>
        </w:rPr>
        <w:t xml:space="preserve"> and the list of PLMN IDs to check the CE-based access barring. Since SIB-14 is scheduled by SIB1-BR, it is beneficial in terms of power saving that the UE does not need to acquire the SIB-14 for the CE-based access barring check. </w:t>
      </w:r>
    </w:p>
    <w:p w14:paraId="48121A52" w14:textId="77CB102F" w:rsidR="00E70FAB" w:rsidRDefault="002F79BE" w:rsidP="002A5DA7">
      <w:pPr>
        <w:pStyle w:val="Recommend-1"/>
        <w:rPr>
          <w:lang w:val="en-GB"/>
        </w:rPr>
      </w:pPr>
      <w:bookmarkStart w:id="49" w:name="_Toc490043664"/>
      <w:bookmarkStart w:id="50" w:name="_Toc490047718"/>
      <w:bookmarkStart w:id="51" w:name="_Toc490049339"/>
      <w:bookmarkStart w:id="52" w:name="_Toc490166663"/>
      <w:bookmarkStart w:id="53" w:name="_Toc490171655"/>
      <w:bookmarkStart w:id="54" w:name="_Toc490171775"/>
      <w:bookmarkStart w:id="55" w:name="_Toc490205580"/>
      <w:bookmarkStart w:id="56" w:name="_Toc490210490"/>
      <w:bookmarkStart w:id="57" w:name="_Toc490246428"/>
      <w:bookmarkStart w:id="58" w:name="_Toc490250392"/>
      <w:bookmarkStart w:id="59" w:name="_Toc490250428"/>
      <w:bookmarkStart w:id="60" w:name="_Toc490252594"/>
      <w:bookmarkStart w:id="61" w:name="_Toc494227035"/>
      <w:bookmarkStart w:id="62" w:name="_Toc494227398"/>
      <w:bookmarkStart w:id="63" w:name="_Toc494326690"/>
      <w:bookmarkStart w:id="64" w:name="_Toc494380697"/>
      <w:bookmarkStart w:id="65" w:name="_Toc494396172"/>
      <w:bookmarkStart w:id="66" w:name="_Toc494404367"/>
      <w:r>
        <w:rPr>
          <w:lang w:val="en-GB"/>
        </w:rPr>
        <w:t>The parameters for the access barring</w:t>
      </w:r>
      <w:r w:rsidR="00090451">
        <w:rPr>
          <w:lang w:val="en-GB"/>
        </w:rPr>
        <w:t xml:space="preserve"> based on CE level</w:t>
      </w:r>
      <w:r>
        <w:rPr>
          <w:lang w:val="en-GB"/>
        </w:rPr>
        <w:t xml:space="preserve"> are</w:t>
      </w:r>
      <w:r w:rsidR="002A5DA7">
        <w:rPr>
          <w:lang w:val="en-GB"/>
        </w:rPr>
        <w:t xml:space="preserve"> signalled via SIB1</w:t>
      </w:r>
      <w:r w:rsidR="008B6634">
        <w:rPr>
          <w:lang w:val="en-GB"/>
        </w:rPr>
        <w:t>-BR</w:t>
      </w:r>
      <w:r w:rsidR="002A5DA7">
        <w:rPr>
          <w:lang w:val="en-GB"/>
        </w:rPr>
        <w:t>.</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47821306" w14:textId="77777777" w:rsidR="002F79BE" w:rsidRDefault="002F79BE" w:rsidP="002F79BE">
      <w:r>
        <w:t xml:space="preserve">Similar to </w:t>
      </w:r>
      <w:r w:rsidRPr="007F5331">
        <w:t xml:space="preserve">Access Class </w:t>
      </w:r>
      <w:r>
        <w:t xml:space="preserve">or ACDC category </w:t>
      </w:r>
      <w:r w:rsidRPr="007F5331">
        <w:t>related cell access restrictions</w:t>
      </w:r>
      <w:r>
        <w:t>,</w:t>
      </w:r>
      <w:r w:rsidRPr="007F5331">
        <w:t xml:space="preserve"> </w:t>
      </w:r>
      <w:r>
        <w:t>a UE that is barred in the cell for operating in a given CE level is allowed to camp on the cell normally. The UE may try to access the cell after the barring duration. The UE does not need to trigger the cell reselection when it is indicated of change in the access barring per CE level.</w:t>
      </w:r>
    </w:p>
    <w:p w14:paraId="6420AEA9" w14:textId="6E9CFA19" w:rsidR="002F79BE" w:rsidRDefault="002F79BE" w:rsidP="002F79BE">
      <w:pPr>
        <w:pStyle w:val="Recommend-1"/>
      </w:pPr>
      <w:bookmarkStart w:id="67" w:name="_Toc490047716"/>
      <w:bookmarkStart w:id="68" w:name="_Toc490049337"/>
      <w:bookmarkStart w:id="69" w:name="_Toc490166661"/>
      <w:bookmarkStart w:id="70" w:name="_Toc490171652"/>
      <w:bookmarkStart w:id="71" w:name="_Toc490171773"/>
      <w:bookmarkStart w:id="72" w:name="_Toc490205578"/>
      <w:bookmarkStart w:id="73" w:name="_Toc490210488"/>
      <w:bookmarkStart w:id="74" w:name="_Toc490246426"/>
      <w:bookmarkStart w:id="75" w:name="_Toc490250390"/>
      <w:bookmarkStart w:id="76" w:name="_Toc490250426"/>
      <w:bookmarkStart w:id="77" w:name="_Toc490252592"/>
      <w:bookmarkStart w:id="78" w:name="_Toc494227036"/>
      <w:bookmarkStart w:id="79" w:name="_Toc494227399"/>
      <w:bookmarkStart w:id="80" w:name="_Toc494326691"/>
      <w:bookmarkStart w:id="81" w:name="_Toc494380698"/>
      <w:bookmarkStart w:id="82" w:name="_Toc494396173"/>
      <w:bookmarkStart w:id="83" w:name="_Toc494404368"/>
      <w:r>
        <w:t>The CE-based access barring indication does not trigger cell reselection and allows UEs to camp on the cell normally regardless of the CE level of the UEs</w:t>
      </w:r>
      <w:r w:rsidR="00E970D1">
        <w:t xml:space="preserve"> and </w:t>
      </w:r>
      <w:r w:rsidR="00343113">
        <w:t xml:space="preserve">to </w:t>
      </w:r>
      <w:r w:rsidR="00E970D1">
        <w:t>re-attempt to access the cell after a barring duration</w:t>
      </w:r>
      <w:r>
        <w:t>.</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396DE1F4" w14:textId="77777777" w:rsidR="002F79BE" w:rsidRDefault="002F79BE" w:rsidP="002F79BE">
      <w:pPr>
        <w:rPr>
          <w:lang w:val="en-GB"/>
        </w:rPr>
      </w:pPr>
    </w:p>
    <w:p w14:paraId="6E244F3F" w14:textId="77777777" w:rsidR="003F5E77" w:rsidRDefault="003F5E77" w:rsidP="003F5E77">
      <w:pPr>
        <w:pStyle w:val="Heading1"/>
        <w:rPr>
          <w:rFonts w:cs="Arial"/>
        </w:rPr>
      </w:pPr>
      <w:bookmarkStart w:id="84" w:name="_Toc478131478"/>
      <w:bookmarkStart w:id="85" w:name="_Toc478158690"/>
      <w:bookmarkStart w:id="86" w:name="_Toc478131479"/>
      <w:bookmarkStart w:id="87" w:name="_Toc478158691"/>
      <w:bookmarkEnd w:id="84"/>
      <w:bookmarkEnd w:id="85"/>
      <w:bookmarkEnd w:id="86"/>
      <w:bookmarkEnd w:id="87"/>
      <w:r w:rsidRPr="00A66DAB">
        <w:rPr>
          <w:rFonts w:cs="Arial"/>
        </w:rPr>
        <w:lastRenderedPageBreak/>
        <w:t xml:space="preserve">Summary </w:t>
      </w:r>
    </w:p>
    <w:p w14:paraId="1C05EBB2" w14:textId="77777777" w:rsidR="00DC20E1" w:rsidRPr="0006424E" w:rsidRDefault="00DC20E1" w:rsidP="00DC20E1">
      <w:pPr>
        <w:rPr>
          <w:lang w:val="en-GB" w:eastAsia="x-none"/>
        </w:rPr>
      </w:pPr>
      <w:r>
        <w:rPr>
          <w:lang w:val="en-GB" w:eastAsia="x-none"/>
        </w:rPr>
        <w:t>Based on the above discussion, we have following observations:</w:t>
      </w:r>
    </w:p>
    <w:p w14:paraId="4590EAD4" w14:textId="77777777" w:rsidR="00913B9E" w:rsidRDefault="00DC20E1">
      <w:pPr>
        <w:pStyle w:val="TOC1"/>
        <w:rPr>
          <w:rFonts w:asciiTheme="minorHAnsi" w:eastAsiaTheme="minorEastAsia" w:hAnsiTheme="minorHAnsi" w:cstheme="minorBidi"/>
          <w:noProof/>
          <w:sz w:val="22"/>
          <w:szCs w:val="22"/>
        </w:rPr>
      </w:pPr>
      <w:r>
        <w:rPr>
          <w:sz w:val="28"/>
          <w:lang w:val="en-GB" w:eastAsia="x-none"/>
        </w:rPr>
        <w:fldChar w:fldCharType="begin"/>
      </w:r>
      <w:r>
        <w:rPr>
          <w:sz w:val="28"/>
          <w:lang w:val="en-GB" w:eastAsia="x-none"/>
        </w:rPr>
        <w:instrText xml:space="preserve"> TOC \n \t "Observation style,1" </w:instrText>
      </w:r>
      <w:r>
        <w:rPr>
          <w:sz w:val="28"/>
          <w:lang w:val="en-GB" w:eastAsia="x-none"/>
        </w:rPr>
        <w:fldChar w:fldCharType="separate"/>
      </w:r>
      <w:r w:rsidR="00913B9E" w:rsidRPr="006E5C5D">
        <w:rPr>
          <w:rFonts w:ascii="Times New Roman Bold" w:hAnsi="Times New Roman Bold"/>
          <w:b/>
          <w:noProof/>
          <w:lang w:val="en-GB"/>
        </w:rPr>
        <w:t>Observation 1</w:t>
      </w:r>
      <w:r w:rsidR="00913B9E" w:rsidRPr="006E5C5D">
        <w:rPr>
          <w:noProof/>
          <w:lang w:val="en-GB"/>
        </w:rPr>
        <w:t xml:space="preserve"> Network can prevent the overload from the UEs in higher CE level by optimizing the current EAB mechanism or defining a new CE level based access barring mechanism.</w:t>
      </w:r>
    </w:p>
    <w:p w14:paraId="638D8F3F" w14:textId="77777777" w:rsidR="00913B9E" w:rsidRDefault="00913B9E">
      <w:pPr>
        <w:pStyle w:val="TOC1"/>
        <w:rPr>
          <w:rFonts w:asciiTheme="minorHAnsi" w:eastAsiaTheme="minorEastAsia" w:hAnsiTheme="minorHAnsi" w:cstheme="minorBidi"/>
          <w:noProof/>
          <w:sz w:val="22"/>
          <w:szCs w:val="22"/>
        </w:rPr>
      </w:pPr>
      <w:r w:rsidRPr="006E5C5D">
        <w:rPr>
          <w:rFonts w:ascii="Times New Roman Bold" w:hAnsi="Times New Roman Bold"/>
          <w:b/>
          <w:noProof/>
          <w:lang w:val="en-GB"/>
        </w:rPr>
        <w:t>Observation 2</w:t>
      </w:r>
      <w:r w:rsidRPr="006E5C5D">
        <w:rPr>
          <w:noProof/>
          <w:lang w:val="en-GB"/>
        </w:rPr>
        <w:t xml:space="preserve"> UEs in higher CE level may have higher probability of getting barred from making mobile originating access attempts.</w:t>
      </w:r>
    </w:p>
    <w:p w14:paraId="48BD419F" w14:textId="77777777" w:rsidR="00913B9E" w:rsidRDefault="00913B9E">
      <w:pPr>
        <w:pStyle w:val="TOC1"/>
        <w:rPr>
          <w:rFonts w:asciiTheme="minorHAnsi" w:eastAsiaTheme="minorEastAsia" w:hAnsiTheme="minorHAnsi" w:cstheme="minorBidi"/>
          <w:noProof/>
          <w:sz w:val="22"/>
          <w:szCs w:val="22"/>
        </w:rPr>
      </w:pPr>
      <w:r w:rsidRPr="006E5C5D">
        <w:rPr>
          <w:rFonts w:ascii="Times New Roman Bold" w:hAnsi="Times New Roman Bold"/>
          <w:b/>
          <w:noProof/>
        </w:rPr>
        <w:t>Observation 3</w:t>
      </w:r>
      <w:r>
        <w:rPr>
          <w:noProof/>
        </w:rPr>
        <w:t xml:space="preserve"> The CE-based access barring capable UEs may be configured by the HPLMN with a permission to override the CE-based access barring however it is not in the scope of RAN2.</w:t>
      </w:r>
    </w:p>
    <w:p w14:paraId="1F8B5385" w14:textId="77777777" w:rsidR="00913B9E" w:rsidRDefault="00913B9E">
      <w:pPr>
        <w:pStyle w:val="TOC1"/>
        <w:rPr>
          <w:rFonts w:asciiTheme="minorHAnsi" w:eastAsiaTheme="minorEastAsia" w:hAnsiTheme="minorHAnsi" w:cstheme="minorBidi"/>
          <w:noProof/>
          <w:sz w:val="22"/>
          <w:szCs w:val="22"/>
        </w:rPr>
      </w:pPr>
      <w:r w:rsidRPr="006E5C5D">
        <w:rPr>
          <w:rFonts w:ascii="Times New Roman Bold" w:hAnsi="Times New Roman Bold"/>
          <w:b/>
          <w:noProof/>
          <w:lang w:val="en-GB"/>
        </w:rPr>
        <w:t>Observation 4</w:t>
      </w:r>
      <w:r w:rsidRPr="006E5C5D">
        <w:rPr>
          <w:noProof/>
          <w:lang w:val="en-GB"/>
        </w:rPr>
        <w:t xml:space="preserve"> Similar mechanism to that of EAB can be used for broadcasting the parameters and informing the change notification for the CE-based access barring mechanism.</w:t>
      </w:r>
    </w:p>
    <w:p w14:paraId="04F297AF" w14:textId="6FF4B8FB" w:rsidR="00DC20E1" w:rsidRPr="0006424E" w:rsidRDefault="00DC20E1" w:rsidP="00DC20E1">
      <w:pPr>
        <w:spacing w:line="276" w:lineRule="auto"/>
        <w:rPr>
          <w:noProof/>
          <w:lang w:val="en-GB"/>
        </w:rPr>
      </w:pPr>
      <w:r>
        <w:rPr>
          <w:sz w:val="28"/>
          <w:lang w:val="en-GB" w:eastAsia="x-none"/>
        </w:rPr>
        <w:fldChar w:fldCharType="end"/>
      </w:r>
      <w:r>
        <w:rPr>
          <w:noProof/>
          <w:lang w:val="en-GB"/>
        </w:rPr>
        <w:t xml:space="preserve">Based on </w:t>
      </w:r>
      <w:r w:rsidR="005636DC">
        <w:rPr>
          <w:noProof/>
          <w:lang w:val="en-GB"/>
        </w:rPr>
        <w:t>the</w:t>
      </w:r>
      <w:r>
        <w:rPr>
          <w:noProof/>
          <w:lang w:val="en-GB"/>
        </w:rPr>
        <w:t xml:space="preserve"> </w:t>
      </w:r>
      <w:r w:rsidRPr="0006424E">
        <w:rPr>
          <w:noProof/>
          <w:lang w:val="en-GB"/>
        </w:rPr>
        <w:t>observations</w:t>
      </w:r>
      <w:r>
        <w:rPr>
          <w:noProof/>
          <w:lang w:val="en-GB"/>
        </w:rPr>
        <w:t xml:space="preserve"> and discussi</w:t>
      </w:r>
      <w:bookmarkStart w:id="88" w:name="_GoBack"/>
      <w:bookmarkEnd w:id="88"/>
      <w:r>
        <w:rPr>
          <w:noProof/>
          <w:lang w:val="en-GB"/>
        </w:rPr>
        <w:t>on</w:t>
      </w:r>
      <w:r w:rsidRPr="0006424E">
        <w:rPr>
          <w:noProof/>
          <w:lang w:val="en-GB"/>
        </w:rPr>
        <w:t>, we propose:</w:t>
      </w:r>
    </w:p>
    <w:p w14:paraId="6872F593" w14:textId="77777777" w:rsidR="00913B9E" w:rsidRDefault="00DC20E1">
      <w:pPr>
        <w:pStyle w:val="TOC1"/>
        <w:tabs>
          <w:tab w:val="left" w:pos="1320"/>
        </w:tabs>
        <w:rPr>
          <w:rFonts w:asciiTheme="minorHAnsi" w:eastAsiaTheme="minorEastAsia" w:hAnsiTheme="minorHAnsi" w:cstheme="minorBidi"/>
          <w:noProof/>
          <w:sz w:val="22"/>
          <w:szCs w:val="22"/>
        </w:rPr>
      </w:pPr>
      <w:r>
        <w:rPr>
          <w:lang w:val="en-GB"/>
        </w:rPr>
        <w:fldChar w:fldCharType="begin"/>
      </w:r>
      <w:r>
        <w:rPr>
          <w:lang w:val="en-GB"/>
        </w:rPr>
        <w:instrText xml:space="preserve"> TOC \n \t "Recommend-1,1" </w:instrText>
      </w:r>
      <w:r>
        <w:rPr>
          <w:lang w:val="en-GB"/>
        </w:rPr>
        <w:fldChar w:fldCharType="separate"/>
      </w:r>
      <w:r w:rsidR="00913B9E" w:rsidRPr="00951114">
        <w:rPr>
          <w:b/>
          <w:noProof/>
          <w:lang w:val="en-GB"/>
        </w:rPr>
        <w:t>Proposal 1.</w:t>
      </w:r>
      <w:r w:rsidR="00913B9E">
        <w:rPr>
          <w:rFonts w:asciiTheme="minorHAnsi" w:eastAsiaTheme="minorEastAsia" w:hAnsiTheme="minorHAnsi" w:cstheme="minorBidi"/>
          <w:noProof/>
          <w:sz w:val="22"/>
          <w:szCs w:val="22"/>
        </w:rPr>
        <w:tab/>
      </w:r>
      <w:r w:rsidR="00913B9E" w:rsidRPr="00951114">
        <w:rPr>
          <w:noProof/>
          <w:lang w:val="en-GB"/>
        </w:rPr>
        <w:t>Access barring based on CE level to control mobile originating access attempts is supported</w:t>
      </w:r>
    </w:p>
    <w:p w14:paraId="1D440456" w14:textId="77777777" w:rsidR="00913B9E" w:rsidRDefault="00913B9E">
      <w:pPr>
        <w:pStyle w:val="TOC1"/>
        <w:tabs>
          <w:tab w:val="left" w:pos="1320"/>
        </w:tabs>
        <w:rPr>
          <w:rFonts w:asciiTheme="minorHAnsi" w:eastAsiaTheme="minorEastAsia" w:hAnsiTheme="minorHAnsi" w:cstheme="minorBidi"/>
          <w:noProof/>
          <w:sz w:val="22"/>
          <w:szCs w:val="22"/>
        </w:rPr>
      </w:pPr>
      <w:r w:rsidRPr="00951114">
        <w:rPr>
          <w:b/>
          <w:noProof/>
          <w:lang w:val="en-GB"/>
        </w:rPr>
        <w:t>Proposal 2.</w:t>
      </w:r>
      <w:r>
        <w:rPr>
          <w:rFonts w:asciiTheme="minorHAnsi" w:eastAsiaTheme="minorEastAsia" w:hAnsiTheme="minorHAnsi" w:cstheme="minorBidi"/>
          <w:noProof/>
          <w:sz w:val="22"/>
          <w:szCs w:val="22"/>
        </w:rPr>
        <w:tab/>
      </w:r>
      <w:r w:rsidRPr="00951114">
        <w:rPr>
          <w:noProof/>
          <w:lang w:val="en-GB"/>
        </w:rPr>
        <w:t>The CE level at which a UE determines to start random access is used by the CE-based access barring capable UEs to check whether or not cell is barred.</w:t>
      </w:r>
    </w:p>
    <w:p w14:paraId="55671B5A" w14:textId="77777777" w:rsidR="00913B9E" w:rsidRDefault="00913B9E">
      <w:pPr>
        <w:pStyle w:val="TOC1"/>
        <w:tabs>
          <w:tab w:val="left" w:pos="1320"/>
        </w:tabs>
        <w:rPr>
          <w:rFonts w:asciiTheme="minorHAnsi" w:eastAsiaTheme="minorEastAsia" w:hAnsiTheme="minorHAnsi" w:cstheme="minorBidi"/>
          <w:noProof/>
          <w:sz w:val="22"/>
          <w:szCs w:val="22"/>
        </w:rPr>
      </w:pPr>
      <w:r w:rsidRPr="00951114">
        <w:rPr>
          <w:b/>
          <w:noProof/>
        </w:rPr>
        <w:t>Proposal 3.</w:t>
      </w:r>
      <w:r>
        <w:rPr>
          <w:rFonts w:asciiTheme="minorHAnsi" w:eastAsiaTheme="minorEastAsia" w:hAnsiTheme="minorHAnsi" w:cstheme="minorBidi"/>
          <w:noProof/>
          <w:sz w:val="22"/>
          <w:szCs w:val="22"/>
        </w:rPr>
        <w:tab/>
      </w:r>
      <w:r>
        <w:rPr>
          <w:noProof/>
        </w:rPr>
        <w:t>A CE-based access barring capable UE follows the normal random access procedure once it determines the cell is not barred.</w:t>
      </w:r>
    </w:p>
    <w:p w14:paraId="6F9129CD" w14:textId="77777777" w:rsidR="00913B9E" w:rsidRDefault="00913B9E">
      <w:pPr>
        <w:pStyle w:val="TOC1"/>
        <w:tabs>
          <w:tab w:val="left" w:pos="1320"/>
        </w:tabs>
        <w:rPr>
          <w:rFonts w:asciiTheme="minorHAnsi" w:eastAsiaTheme="minorEastAsia" w:hAnsiTheme="minorHAnsi" w:cstheme="minorBidi"/>
          <w:noProof/>
          <w:sz w:val="22"/>
          <w:szCs w:val="22"/>
        </w:rPr>
      </w:pPr>
      <w:r w:rsidRPr="00951114">
        <w:rPr>
          <w:b/>
          <w:noProof/>
          <w:lang w:val="en-GB"/>
        </w:rPr>
        <w:t>Proposal 4.</w:t>
      </w:r>
      <w:r>
        <w:rPr>
          <w:rFonts w:asciiTheme="minorHAnsi" w:eastAsiaTheme="minorEastAsia" w:hAnsiTheme="minorHAnsi" w:cstheme="minorBidi"/>
          <w:noProof/>
          <w:sz w:val="22"/>
          <w:szCs w:val="22"/>
        </w:rPr>
        <w:tab/>
      </w:r>
      <w:r w:rsidRPr="00951114">
        <w:rPr>
          <w:noProof/>
          <w:lang w:val="en-GB"/>
        </w:rPr>
        <w:t>The parameters for the access barring based on CE level are signalled via SIB1-BR.</w:t>
      </w:r>
    </w:p>
    <w:p w14:paraId="2EFDA312" w14:textId="77777777" w:rsidR="00913B9E" w:rsidRDefault="00913B9E">
      <w:pPr>
        <w:pStyle w:val="TOC1"/>
        <w:tabs>
          <w:tab w:val="left" w:pos="1320"/>
        </w:tabs>
        <w:rPr>
          <w:rFonts w:asciiTheme="minorHAnsi" w:eastAsiaTheme="minorEastAsia" w:hAnsiTheme="minorHAnsi" w:cstheme="minorBidi"/>
          <w:noProof/>
          <w:sz w:val="22"/>
          <w:szCs w:val="22"/>
        </w:rPr>
      </w:pPr>
      <w:r w:rsidRPr="00951114">
        <w:rPr>
          <w:b/>
          <w:noProof/>
        </w:rPr>
        <w:t>Proposal 5.</w:t>
      </w:r>
      <w:r>
        <w:rPr>
          <w:rFonts w:asciiTheme="minorHAnsi" w:eastAsiaTheme="minorEastAsia" w:hAnsiTheme="minorHAnsi" w:cstheme="minorBidi"/>
          <w:noProof/>
          <w:sz w:val="22"/>
          <w:szCs w:val="22"/>
        </w:rPr>
        <w:tab/>
      </w:r>
      <w:r>
        <w:rPr>
          <w:noProof/>
        </w:rPr>
        <w:t>The CE-based access barring indication does not trigger cell reselection and allows UEs to camp on the cell normally regardless of the CE level of the UEs and to re-attempt to access the cell after a barring duration.</w:t>
      </w:r>
    </w:p>
    <w:p w14:paraId="3E224C16" w14:textId="7060CE28" w:rsidR="003F5E77" w:rsidRPr="00AE5D44" w:rsidRDefault="00DC20E1" w:rsidP="00196EF2">
      <w:pPr>
        <w:pStyle w:val="TOC1"/>
        <w:rPr>
          <w:lang w:val="en-GB"/>
        </w:rPr>
      </w:pPr>
      <w:r>
        <w:rPr>
          <w:lang w:val="en-GB"/>
        </w:rPr>
        <w:fldChar w:fldCharType="end"/>
      </w:r>
    </w:p>
    <w:p w14:paraId="44CDB911" w14:textId="42BA1E95" w:rsidR="003F5E77" w:rsidRDefault="003F5E77" w:rsidP="003F5E77">
      <w:pPr>
        <w:pStyle w:val="Heading1"/>
        <w:rPr>
          <w:rFonts w:cs="Arial"/>
        </w:rPr>
      </w:pPr>
      <w:r w:rsidRPr="00A66DAB">
        <w:rPr>
          <w:rFonts w:cs="Arial"/>
        </w:rPr>
        <w:t>Reference</w:t>
      </w:r>
      <w:bookmarkEnd w:id="2"/>
    </w:p>
    <w:p w14:paraId="2127B1BD" w14:textId="592BE85B" w:rsidR="006B3B48" w:rsidRDefault="006B3B48" w:rsidP="006B3B48">
      <w:pPr>
        <w:rPr>
          <w:lang w:val="en-GB" w:eastAsia="x-none"/>
        </w:rPr>
      </w:pPr>
      <w:r>
        <w:rPr>
          <w:lang w:val="en-GB" w:eastAsia="x-none"/>
        </w:rPr>
        <w:t>[1] RP-170852, “New WI on Further NB-</w:t>
      </w:r>
      <w:proofErr w:type="spellStart"/>
      <w:r>
        <w:rPr>
          <w:lang w:val="en-GB" w:eastAsia="x-none"/>
        </w:rPr>
        <w:t>IoT</w:t>
      </w:r>
      <w:proofErr w:type="spellEnd"/>
      <w:r>
        <w:rPr>
          <w:lang w:val="en-GB" w:eastAsia="x-none"/>
        </w:rPr>
        <w:t xml:space="preserve"> enhancements”, RAN#75, Dubrovnik, Croatia.</w:t>
      </w:r>
    </w:p>
    <w:p w14:paraId="76F787CD" w14:textId="643F254B" w:rsidR="006B3B48" w:rsidRPr="006B3B48" w:rsidRDefault="006B3B48" w:rsidP="006B3B48">
      <w:pPr>
        <w:rPr>
          <w:lang w:val="en-GB" w:eastAsia="x-none"/>
        </w:rPr>
      </w:pPr>
      <w:r>
        <w:rPr>
          <w:lang w:val="en-GB" w:eastAsia="x-none"/>
        </w:rPr>
        <w:t>[2]</w:t>
      </w:r>
      <w:r w:rsidRPr="006B3B48">
        <w:rPr>
          <w:lang w:val="en-GB" w:eastAsia="x-none"/>
        </w:rPr>
        <w:t xml:space="preserve"> </w:t>
      </w:r>
      <w:r>
        <w:rPr>
          <w:lang w:val="en-GB" w:eastAsia="x-none"/>
        </w:rPr>
        <w:t>RP-170732, “New WI on Even further enhanced MTC for LTE”, RAN#75, Dubrovnik, Croatia.</w:t>
      </w:r>
    </w:p>
    <w:sectPr w:rsidR="006B3B48" w:rsidRPr="006B3B48" w:rsidSect="00147F90">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4741E"/>
    <w:multiLevelType w:val="hybridMultilevel"/>
    <w:tmpl w:val="DB1EBCCA"/>
    <w:lvl w:ilvl="0" w:tplc="9C422572">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5F46B8"/>
    <w:multiLevelType w:val="hybridMultilevel"/>
    <w:tmpl w:val="5B16E3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DF1246"/>
    <w:multiLevelType w:val="hybridMultilevel"/>
    <w:tmpl w:val="7C3A2766"/>
    <w:lvl w:ilvl="0" w:tplc="98A44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3B27B5"/>
    <w:multiLevelType w:val="hybridMultilevel"/>
    <w:tmpl w:val="0E0C49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371EB0"/>
    <w:multiLevelType w:val="hybridMultilevel"/>
    <w:tmpl w:val="F33CD50A"/>
    <w:lvl w:ilvl="0" w:tplc="8E607314">
      <w:start w:val="1"/>
      <w:numFmt w:val="bullet"/>
      <w:lvlText w:val="•"/>
      <w:lvlJc w:val="left"/>
      <w:pPr>
        <w:tabs>
          <w:tab w:val="num" w:pos="720"/>
        </w:tabs>
        <w:ind w:left="720" w:hanging="360"/>
      </w:pPr>
      <w:rPr>
        <w:rFonts w:ascii="Arial" w:hAnsi="Arial" w:hint="default"/>
      </w:rPr>
    </w:lvl>
    <w:lvl w:ilvl="1" w:tplc="578C008E">
      <w:start w:val="1"/>
      <w:numFmt w:val="bullet"/>
      <w:lvlText w:val="•"/>
      <w:lvlJc w:val="left"/>
      <w:pPr>
        <w:tabs>
          <w:tab w:val="num" w:pos="1440"/>
        </w:tabs>
        <w:ind w:left="1440" w:hanging="360"/>
      </w:pPr>
      <w:rPr>
        <w:rFonts w:ascii="Arial" w:hAnsi="Arial" w:hint="default"/>
      </w:rPr>
    </w:lvl>
    <w:lvl w:ilvl="2" w:tplc="8476470C">
      <w:numFmt w:val="bullet"/>
      <w:lvlText w:val="•"/>
      <w:lvlJc w:val="left"/>
      <w:pPr>
        <w:tabs>
          <w:tab w:val="num" w:pos="2160"/>
        </w:tabs>
        <w:ind w:left="2160" w:hanging="360"/>
      </w:pPr>
      <w:rPr>
        <w:rFonts w:ascii="Arial" w:hAnsi="Arial" w:hint="default"/>
      </w:rPr>
    </w:lvl>
    <w:lvl w:ilvl="3" w:tplc="296A203E" w:tentative="1">
      <w:start w:val="1"/>
      <w:numFmt w:val="bullet"/>
      <w:lvlText w:val="•"/>
      <w:lvlJc w:val="left"/>
      <w:pPr>
        <w:tabs>
          <w:tab w:val="num" w:pos="2880"/>
        </w:tabs>
        <w:ind w:left="2880" w:hanging="360"/>
      </w:pPr>
      <w:rPr>
        <w:rFonts w:ascii="Arial" w:hAnsi="Arial" w:hint="default"/>
      </w:rPr>
    </w:lvl>
    <w:lvl w:ilvl="4" w:tplc="7674D3D0" w:tentative="1">
      <w:start w:val="1"/>
      <w:numFmt w:val="bullet"/>
      <w:lvlText w:val="•"/>
      <w:lvlJc w:val="left"/>
      <w:pPr>
        <w:tabs>
          <w:tab w:val="num" w:pos="3600"/>
        </w:tabs>
        <w:ind w:left="3600" w:hanging="360"/>
      </w:pPr>
      <w:rPr>
        <w:rFonts w:ascii="Arial" w:hAnsi="Arial" w:hint="default"/>
      </w:rPr>
    </w:lvl>
    <w:lvl w:ilvl="5" w:tplc="8CDEA4D6" w:tentative="1">
      <w:start w:val="1"/>
      <w:numFmt w:val="bullet"/>
      <w:lvlText w:val="•"/>
      <w:lvlJc w:val="left"/>
      <w:pPr>
        <w:tabs>
          <w:tab w:val="num" w:pos="4320"/>
        </w:tabs>
        <w:ind w:left="4320" w:hanging="360"/>
      </w:pPr>
      <w:rPr>
        <w:rFonts w:ascii="Arial" w:hAnsi="Arial" w:hint="default"/>
      </w:rPr>
    </w:lvl>
    <w:lvl w:ilvl="6" w:tplc="409CF54A" w:tentative="1">
      <w:start w:val="1"/>
      <w:numFmt w:val="bullet"/>
      <w:lvlText w:val="•"/>
      <w:lvlJc w:val="left"/>
      <w:pPr>
        <w:tabs>
          <w:tab w:val="num" w:pos="5040"/>
        </w:tabs>
        <w:ind w:left="5040" w:hanging="360"/>
      </w:pPr>
      <w:rPr>
        <w:rFonts w:ascii="Arial" w:hAnsi="Arial" w:hint="default"/>
      </w:rPr>
    </w:lvl>
    <w:lvl w:ilvl="7" w:tplc="C406B770" w:tentative="1">
      <w:start w:val="1"/>
      <w:numFmt w:val="bullet"/>
      <w:lvlText w:val="•"/>
      <w:lvlJc w:val="left"/>
      <w:pPr>
        <w:tabs>
          <w:tab w:val="num" w:pos="5760"/>
        </w:tabs>
        <w:ind w:left="5760" w:hanging="360"/>
      </w:pPr>
      <w:rPr>
        <w:rFonts w:ascii="Arial" w:hAnsi="Arial" w:hint="default"/>
      </w:rPr>
    </w:lvl>
    <w:lvl w:ilvl="8" w:tplc="EB444D6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CB868AD"/>
    <w:multiLevelType w:val="multilevel"/>
    <w:tmpl w:val="629A2C82"/>
    <w:lvl w:ilvl="0">
      <w:start w:val="1"/>
      <w:numFmt w:val="decimal"/>
      <w:pStyle w:val="Agreement"/>
      <w:lvlText w:val="Proposal %1."/>
      <w:lvlJc w:val="left"/>
      <w:pPr>
        <w:ind w:left="360" w:hanging="360"/>
      </w:pPr>
      <w:rPr>
        <w:rFonts w:cs="Times New Roman"/>
        <w:b/>
        <w:color w:val="auto"/>
      </w:rPr>
    </w:lvl>
    <w:lvl w:ilvl="1">
      <w:start w:val="1"/>
      <w:numFmt w:val="decimal"/>
      <w:lvlText w:val="Proposal %1.%2."/>
      <w:lvlJc w:val="left"/>
      <w:pPr>
        <w:ind w:left="792" w:hanging="432"/>
      </w:pPr>
      <w:rPr>
        <w:rFonts w:cs="Times New Roman"/>
        <w:b/>
        <w:i w:val="0"/>
      </w:rPr>
    </w:lvl>
    <w:lvl w:ilvl="2">
      <w:start w:val="1"/>
      <w:numFmt w:val="decimal"/>
      <w:lvlText w:val="Proposal %1.%2.%3."/>
      <w:lvlJc w:val="left"/>
      <w:pPr>
        <w:ind w:left="1224" w:hanging="504"/>
      </w:pPr>
      <w:rPr>
        <w:rFonts w:cs="Times New Roman"/>
        <w:b/>
        <w:i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15:restartNumberingAfterBreak="0">
    <w:nsid w:val="28782BB8"/>
    <w:multiLevelType w:val="hybridMultilevel"/>
    <w:tmpl w:val="8EACCD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CC7DAE"/>
    <w:multiLevelType w:val="hybridMultilevel"/>
    <w:tmpl w:val="10A49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647301"/>
    <w:multiLevelType w:val="multilevel"/>
    <w:tmpl w:val="26F8432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28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84B620C"/>
    <w:multiLevelType w:val="hybridMultilevel"/>
    <w:tmpl w:val="D8B8984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2B46C0"/>
    <w:multiLevelType w:val="hybridMultilevel"/>
    <w:tmpl w:val="054810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783210"/>
    <w:multiLevelType w:val="multilevel"/>
    <w:tmpl w:val="BE207B78"/>
    <w:lvl w:ilvl="0">
      <w:start w:val="1"/>
      <w:numFmt w:val="decimal"/>
      <w:pStyle w:val="Observationstyle"/>
      <w:suff w:val="space"/>
      <w:lvlText w:val="Observation %1"/>
      <w:lvlJc w:val="left"/>
      <w:pPr>
        <w:ind w:left="0" w:firstLine="0"/>
      </w:pPr>
      <w:rPr>
        <w:rFonts w:ascii="Times New Roman Bold" w:hAnsi="Times New Roman Bold" w:hint="default"/>
        <w:b/>
        <w:i w:val="0"/>
        <w:sz w:val="2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2" w15:restartNumberingAfterBreak="0">
    <w:nsid w:val="407B75E9"/>
    <w:multiLevelType w:val="hybridMultilevel"/>
    <w:tmpl w:val="2892D8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1C3921"/>
    <w:multiLevelType w:val="hybridMultilevel"/>
    <w:tmpl w:val="54C810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6834D0"/>
    <w:multiLevelType w:val="hybridMultilevel"/>
    <w:tmpl w:val="8EACCD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AD48F5"/>
    <w:multiLevelType w:val="hybridMultilevel"/>
    <w:tmpl w:val="4E14A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CD0374"/>
    <w:multiLevelType w:val="hybridMultilevel"/>
    <w:tmpl w:val="AB508E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9234BD6"/>
    <w:multiLevelType w:val="hybridMultilevel"/>
    <w:tmpl w:val="7224444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AE1579"/>
    <w:multiLevelType w:val="hybridMultilevel"/>
    <w:tmpl w:val="F404E4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0B4645"/>
    <w:multiLevelType w:val="hybridMultilevel"/>
    <w:tmpl w:val="D7F67B3A"/>
    <w:lvl w:ilvl="0" w:tplc="572CB6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0146DC0"/>
    <w:multiLevelType w:val="hybridMultilevel"/>
    <w:tmpl w:val="9BC21240"/>
    <w:lvl w:ilvl="0" w:tplc="F8848860">
      <w:start w:val="1"/>
      <w:numFmt w:val="bullet"/>
      <w:lvlText w:val=""/>
      <w:lvlJc w:val="left"/>
      <w:pPr>
        <w:tabs>
          <w:tab w:val="num" w:pos="1350"/>
        </w:tabs>
        <w:ind w:left="1350" w:hanging="360"/>
      </w:pPr>
      <w:rPr>
        <w:rFonts w:ascii="Symbol" w:hAnsi="Symbol" w:hint="default"/>
        <w:b/>
        <w:i w:val="0"/>
        <w:color w:val="auto"/>
        <w:sz w:val="22"/>
      </w:rPr>
    </w:lvl>
    <w:lvl w:ilvl="1" w:tplc="04090003">
      <w:start w:val="1"/>
      <w:numFmt w:val="bullet"/>
      <w:lvlText w:val="o"/>
      <w:lvlJc w:val="left"/>
      <w:pPr>
        <w:tabs>
          <w:tab w:val="num" w:pos="1171"/>
        </w:tabs>
        <w:ind w:left="1171" w:hanging="360"/>
      </w:pPr>
      <w:rPr>
        <w:rFonts w:ascii="Courier New" w:hAnsi="Courier New" w:cs="Courier New" w:hint="default"/>
      </w:rPr>
    </w:lvl>
    <w:lvl w:ilvl="2" w:tplc="04090005" w:tentative="1">
      <w:start w:val="1"/>
      <w:numFmt w:val="bullet"/>
      <w:lvlText w:val=""/>
      <w:lvlJc w:val="left"/>
      <w:pPr>
        <w:tabs>
          <w:tab w:val="num" w:pos="1891"/>
        </w:tabs>
        <w:ind w:left="1891" w:hanging="360"/>
      </w:pPr>
      <w:rPr>
        <w:rFonts w:ascii="Wingdings" w:hAnsi="Wingdings" w:hint="default"/>
      </w:rPr>
    </w:lvl>
    <w:lvl w:ilvl="3" w:tplc="04090001" w:tentative="1">
      <w:start w:val="1"/>
      <w:numFmt w:val="bullet"/>
      <w:lvlText w:val=""/>
      <w:lvlJc w:val="left"/>
      <w:pPr>
        <w:tabs>
          <w:tab w:val="num" w:pos="2611"/>
        </w:tabs>
        <w:ind w:left="2611" w:hanging="360"/>
      </w:pPr>
      <w:rPr>
        <w:rFonts w:ascii="Symbol" w:hAnsi="Symbol" w:hint="default"/>
      </w:rPr>
    </w:lvl>
    <w:lvl w:ilvl="4" w:tplc="04090003" w:tentative="1">
      <w:start w:val="1"/>
      <w:numFmt w:val="bullet"/>
      <w:lvlText w:val="o"/>
      <w:lvlJc w:val="left"/>
      <w:pPr>
        <w:tabs>
          <w:tab w:val="num" w:pos="3331"/>
        </w:tabs>
        <w:ind w:left="3331" w:hanging="360"/>
      </w:pPr>
      <w:rPr>
        <w:rFonts w:ascii="Courier New" w:hAnsi="Courier New" w:cs="Courier New" w:hint="default"/>
      </w:rPr>
    </w:lvl>
    <w:lvl w:ilvl="5" w:tplc="04090005" w:tentative="1">
      <w:start w:val="1"/>
      <w:numFmt w:val="bullet"/>
      <w:lvlText w:val=""/>
      <w:lvlJc w:val="left"/>
      <w:pPr>
        <w:tabs>
          <w:tab w:val="num" w:pos="4051"/>
        </w:tabs>
        <w:ind w:left="4051" w:hanging="360"/>
      </w:pPr>
      <w:rPr>
        <w:rFonts w:ascii="Wingdings" w:hAnsi="Wingdings" w:hint="default"/>
      </w:rPr>
    </w:lvl>
    <w:lvl w:ilvl="6" w:tplc="04090001" w:tentative="1">
      <w:start w:val="1"/>
      <w:numFmt w:val="bullet"/>
      <w:lvlText w:val=""/>
      <w:lvlJc w:val="left"/>
      <w:pPr>
        <w:tabs>
          <w:tab w:val="num" w:pos="4771"/>
        </w:tabs>
        <w:ind w:left="4771" w:hanging="360"/>
      </w:pPr>
      <w:rPr>
        <w:rFonts w:ascii="Symbol" w:hAnsi="Symbol" w:hint="default"/>
      </w:rPr>
    </w:lvl>
    <w:lvl w:ilvl="7" w:tplc="04090003" w:tentative="1">
      <w:start w:val="1"/>
      <w:numFmt w:val="bullet"/>
      <w:lvlText w:val="o"/>
      <w:lvlJc w:val="left"/>
      <w:pPr>
        <w:tabs>
          <w:tab w:val="num" w:pos="5491"/>
        </w:tabs>
        <w:ind w:left="5491" w:hanging="360"/>
      </w:pPr>
      <w:rPr>
        <w:rFonts w:ascii="Courier New" w:hAnsi="Courier New" w:cs="Courier New" w:hint="default"/>
      </w:rPr>
    </w:lvl>
    <w:lvl w:ilvl="8" w:tplc="04090005" w:tentative="1">
      <w:start w:val="1"/>
      <w:numFmt w:val="bullet"/>
      <w:lvlText w:val=""/>
      <w:lvlJc w:val="left"/>
      <w:pPr>
        <w:tabs>
          <w:tab w:val="num" w:pos="6211"/>
        </w:tabs>
        <w:ind w:left="6211" w:hanging="360"/>
      </w:pPr>
      <w:rPr>
        <w:rFonts w:ascii="Wingdings" w:hAnsi="Wingdings" w:hint="default"/>
      </w:rPr>
    </w:lvl>
  </w:abstractNum>
  <w:abstractNum w:abstractNumId="21" w15:restartNumberingAfterBreak="0">
    <w:nsid w:val="71D847C9"/>
    <w:multiLevelType w:val="hybridMultilevel"/>
    <w:tmpl w:val="0A9203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3" w15:restartNumberingAfterBreak="0">
    <w:nsid w:val="75B1652D"/>
    <w:multiLevelType w:val="hybridMultilevel"/>
    <w:tmpl w:val="8070C8C6"/>
    <w:lvl w:ilvl="0" w:tplc="0B4CCAE6">
      <w:start w:val="1"/>
      <w:numFmt w:val="bullet"/>
      <w:lvlText w:val=""/>
      <w:lvlJc w:val="left"/>
      <w:pPr>
        <w:tabs>
          <w:tab w:val="num" w:pos="720"/>
        </w:tabs>
        <w:ind w:left="720" w:hanging="360"/>
      </w:pPr>
      <w:rPr>
        <w:rFonts w:ascii="Wingdings" w:hAnsi="Wingdings" w:hint="default"/>
      </w:rPr>
    </w:lvl>
    <w:lvl w:ilvl="1" w:tplc="7C3A532E">
      <w:numFmt w:val="bullet"/>
      <w:lvlText w:val=""/>
      <w:lvlJc w:val="left"/>
      <w:pPr>
        <w:tabs>
          <w:tab w:val="num" w:pos="1440"/>
        </w:tabs>
        <w:ind w:left="1440" w:hanging="360"/>
      </w:pPr>
      <w:rPr>
        <w:rFonts w:ascii="Wingdings" w:hAnsi="Wingdings" w:hint="default"/>
      </w:rPr>
    </w:lvl>
    <w:lvl w:ilvl="2" w:tplc="A53ED11A">
      <w:numFmt w:val="bullet"/>
      <w:lvlText w:val=""/>
      <w:lvlJc w:val="left"/>
      <w:pPr>
        <w:tabs>
          <w:tab w:val="num" w:pos="2160"/>
        </w:tabs>
        <w:ind w:left="2160" w:hanging="360"/>
      </w:pPr>
      <w:rPr>
        <w:rFonts w:ascii="Wingdings" w:hAnsi="Wingdings" w:hint="default"/>
      </w:rPr>
    </w:lvl>
    <w:lvl w:ilvl="3" w:tplc="79844434" w:tentative="1">
      <w:start w:val="1"/>
      <w:numFmt w:val="bullet"/>
      <w:lvlText w:val=""/>
      <w:lvlJc w:val="left"/>
      <w:pPr>
        <w:tabs>
          <w:tab w:val="num" w:pos="2880"/>
        </w:tabs>
        <w:ind w:left="2880" w:hanging="360"/>
      </w:pPr>
      <w:rPr>
        <w:rFonts w:ascii="Wingdings" w:hAnsi="Wingdings" w:hint="default"/>
      </w:rPr>
    </w:lvl>
    <w:lvl w:ilvl="4" w:tplc="D34C9860" w:tentative="1">
      <w:start w:val="1"/>
      <w:numFmt w:val="bullet"/>
      <w:lvlText w:val=""/>
      <w:lvlJc w:val="left"/>
      <w:pPr>
        <w:tabs>
          <w:tab w:val="num" w:pos="3600"/>
        </w:tabs>
        <w:ind w:left="3600" w:hanging="360"/>
      </w:pPr>
      <w:rPr>
        <w:rFonts w:ascii="Wingdings" w:hAnsi="Wingdings" w:hint="default"/>
      </w:rPr>
    </w:lvl>
    <w:lvl w:ilvl="5" w:tplc="0AE43FA8" w:tentative="1">
      <w:start w:val="1"/>
      <w:numFmt w:val="bullet"/>
      <w:lvlText w:val=""/>
      <w:lvlJc w:val="left"/>
      <w:pPr>
        <w:tabs>
          <w:tab w:val="num" w:pos="4320"/>
        </w:tabs>
        <w:ind w:left="4320" w:hanging="360"/>
      </w:pPr>
      <w:rPr>
        <w:rFonts w:ascii="Wingdings" w:hAnsi="Wingdings" w:hint="default"/>
      </w:rPr>
    </w:lvl>
    <w:lvl w:ilvl="6" w:tplc="6826147C" w:tentative="1">
      <w:start w:val="1"/>
      <w:numFmt w:val="bullet"/>
      <w:lvlText w:val=""/>
      <w:lvlJc w:val="left"/>
      <w:pPr>
        <w:tabs>
          <w:tab w:val="num" w:pos="5040"/>
        </w:tabs>
        <w:ind w:left="5040" w:hanging="360"/>
      </w:pPr>
      <w:rPr>
        <w:rFonts w:ascii="Wingdings" w:hAnsi="Wingdings" w:hint="default"/>
      </w:rPr>
    </w:lvl>
    <w:lvl w:ilvl="7" w:tplc="181AEC4C" w:tentative="1">
      <w:start w:val="1"/>
      <w:numFmt w:val="bullet"/>
      <w:lvlText w:val=""/>
      <w:lvlJc w:val="left"/>
      <w:pPr>
        <w:tabs>
          <w:tab w:val="num" w:pos="5760"/>
        </w:tabs>
        <w:ind w:left="5760" w:hanging="360"/>
      </w:pPr>
      <w:rPr>
        <w:rFonts w:ascii="Wingdings" w:hAnsi="Wingdings" w:hint="default"/>
      </w:rPr>
    </w:lvl>
    <w:lvl w:ilvl="8" w:tplc="CDCC945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211EE4"/>
    <w:multiLevelType w:val="singleLevel"/>
    <w:tmpl w:val="114290A8"/>
    <w:lvl w:ilvl="0">
      <w:start w:val="1"/>
      <w:numFmt w:val="decimal"/>
      <w:pStyle w:val="Recommend-1"/>
      <w:lvlText w:val="Proposal %1."/>
      <w:lvlJc w:val="left"/>
      <w:pPr>
        <w:ind w:left="360" w:hanging="360"/>
      </w:pPr>
      <w:rPr>
        <w:rFonts w:hint="default"/>
        <w:b/>
        <w:i w:val="0"/>
      </w:rPr>
    </w:lvl>
  </w:abstractNum>
  <w:abstractNum w:abstractNumId="25" w15:restartNumberingAfterBreak="0">
    <w:nsid w:val="7E3A5D88"/>
    <w:multiLevelType w:val="hybridMultilevel"/>
    <w:tmpl w:val="135C2656"/>
    <w:lvl w:ilvl="0" w:tplc="D4541B06">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F94E1A"/>
    <w:multiLevelType w:val="hybridMultilevel"/>
    <w:tmpl w:val="23E0B0C6"/>
    <w:lvl w:ilvl="0" w:tplc="E7509B4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24"/>
  </w:num>
  <w:num w:numId="3">
    <w:abstractNumId w:val="5"/>
  </w:num>
  <w:num w:numId="4">
    <w:abstractNumId w:val="11"/>
  </w:num>
  <w:num w:numId="5">
    <w:abstractNumId w:val="20"/>
  </w:num>
  <w:num w:numId="6">
    <w:abstractNumId w:val="25"/>
  </w:num>
  <w:num w:numId="7">
    <w:abstractNumId w:val="11"/>
  </w:num>
  <w:num w:numId="8">
    <w:abstractNumId w:val="2"/>
  </w:num>
  <w:num w:numId="9">
    <w:abstractNumId w:val="3"/>
  </w:num>
  <w:num w:numId="10">
    <w:abstractNumId w:val="26"/>
  </w:num>
  <w:num w:numId="11">
    <w:abstractNumId w:val="12"/>
  </w:num>
  <w:num w:numId="12">
    <w:abstractNumId w:val="7"/>
  </w:num>
  <w:num w:numId="13">
    <w:abstractNumId w:val="18"/>
  </w:num>
  <w:num w:numId="14">
    <w:abstractNumId w:val="13"/>
  </w:num>
  <w:num w:numId="15">
    <w:abstractNumId w:val="19"/>
  </w:num>
  <w:num w:numId="16">
    <w:abstractNumId w:val="0"/>
  </w:num>
  <w:num w:numId="17">
    <w:abstractNumId w:val="14"/>
  </w:num>
  <w:num w:numId="18">
    <w:abstractNumId w:val="9"/>
  </w:num>
  <w:num w:numId="19">
    <w:abstractNumId w:val="6"/>
  </w:num>
  <w:num w:numId="20">
    <w:abstractNumId w:val="15"/>
  </w:num>
  <w:num w:numId="21">
    <w:abstractNumId w:val="10"/>
  </w:num>
  <w:num w:numId="22">
    <w:abstractNumId w:val="22"/>
  </w:num>
  <w:num w:numId="23">
    <w:abstractNumId w:val="4"/>
  </w:num>
  <w:num w:numId="24">
    <w:abstractNumId w:val="17"/>
  </w:num>
  <w:num w:numId="25">
    <w:abstractNumId w:val="23"/>
  </w:num>
  <w:num w:numId="26">
    <w:abstractNumId w:val="1"/>
  </w:num>
  <w:num w:numId="27">
    <w:abstractNumId w:val="21"/>
  </w:num>
  <w:num w:numId="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4198"/>
    <w:rsid w:val="000014AB"/>
    <w:rsid w:val="0000241F"/>
    <w:rsid w:val="000211D6"/>
    <w:rsid w:val="000215C7"/>
    <w:rsid w:val="000235D3"/>
    <w:rsid w:val="0002718D"/>
    <w:rsid w:val="000314A6"/>
    <w:rsid w:val="0003347D"/>
    <w:rsid w:val="00036597"/>
    <w:rsid w:val="00040294"/>
    <w:rsid w:val="00040FEE"/>
    <w:rsid w:val="00041E0D"/>
    <w:rsid w:val="000467EB"/>
    <w:rsid w:val="00054672"/>
    <w:rsid w:val="000609C9"/>
    <w:rsid w:val="00061683"/>
    <w:rsid w:val="00061B9F"/>
    <w:rsid w:val="000708AA"/>
    <w:rsid w:val="00080F13"/>
    <w:rsid w:val="00090451"/>
    <w:rsid w:val="000921F5"/>
    <w:rsid w:val="00094B06"/>
    <w:rsid w:val="0009517A"/>
    <w:rsid w:val="000A3706"/>
    <w:rsid w:val="000A53F7"/>
    <w:rsid w:val="000B328A"/>
    <w:rsid w:val="000D56F0"/>
    <w:rsid w:val="000D7328"/>
    <w:rsid w:val="000F2EF8"/>
    <w:rsid w:val="0010142B"/>
    <w:rsid w:val="001017AC"/>
    <w:rsid w:val="0010793F"/>
    <w:rsid w:val="0011448A"/>
    <w:rsid w:val="0012225E"/>
    <w:rsid w:val="001304C5"/>
    <w:rsid w:val="0014256C"/>
    <w:rsid w:val="00143200"/>
    <w:rsid w:val="001436B8"/>
    <w:rsid w:val="00144322"/>
    <w:rsid w:val="00147F90"/>
    <w:rsid w:val="0015325E"/>
    <w:rsid w:val="00153CF0"/>
    <w:rsid w:val="00160C1E"/>
    <w:rsid w:val="001640E7"/>
    <w:rsid w:val="00165246"/>
    <w:rsid w:val="00166AC8"/>
    <w:rsid w:val="00172C07"/>
    <w:rsid w:val="00172C9B"/>
    <w:rsid w:val="001764F5"/>
    <w:rsid w:val="00176593"/>
    <w:rsid w:val="0017777F"/>
    <w:rsid w:val="00184B2E"/>
    <w:rsid w:val="00187B2E"/>
    <w:rsid w:val="00193D94"/>
    <w:rsid w:val="00195B12"/>
    <w:rsid w:val="00196EF2"/>
    <w:rsid w:val="001A0AC6"/>
    <w:rsid w:val="001A1F48"/>
    <w:rsid w:val="001B10AD"/>
    <w:rsid w:val="001B16E4"/>
    <w:rsid w:val="001B28D5"/>
    <w:rsid w:val="001C20BB"/>
    <w:rsid w:val="001C3447"/>
    <w:rsid w:val="001C4272"/>
    <w:rsid w:val="001D0DFD"/>
    <w:rsid w:val="001D74E2"/>
    <w:rsid w:val="001E493A"/>
    <w:rsid w:val="001F1C93"/>
    <w:rsid w:val="001F31E3"/>
    <w:rsid w:val="001F5C6A"/>
    <w:rsid w:val="001F6F0E"/>
    <w:rsid w:val="002071FC"/>
    <w:rsid w:val="00207D7F"/>
    <w:rsid w:val="00214774"/>
    <w:rsid w:val="00220CF9"/>
    <w:rsid w:val="002236EA"/>
    <w:rsid w:val="00231D4F"/>
    <w:rsid w:val="002426E4"/>
    <w:rsid w:val="00243C9C"/>
    <w:rsid w:val="00245748"/>
    <w:rsid w:val="00252C5C"/>
    <w:rsid w:val="002530FD"/>
    <w:rsid w:val="00265C6A"/>
    <w:rsid w:val="00266A8B"/>
    <w:rsid w:val="00276D2E"/>
    <w:rsid w:val="00283BAF"/>
    <w:rsid w:val="00294CDB"/>
    <w:rsid w:val="00297ED7"/>
    <w:rsid w:val="002A237B"/>
    <w:rsid w:val="002A4917"/>
    <w:rsid w:val="002A5DA7"/>
    <w:rsid w:val="002A6493"/>
    <w:rsid w:val="002A7F76"/>
    <w:rsid w:val="002B4C5F"/>
    <w:rsid w:val="002C59D2"/>
    <w:rsid w:val="002C7300"/>
    <w:rsid w:val="002C781A"/>
    <w:rsid w:val="002D34F1"/>
    <w:rsid w:val="002E0215"/>
    <w:rsid w:val="002E06AA"/>
    <w:rsid w:val="002E600A"/>
    <w:rsid w:val="002F2D32"/>
    <w:rsid w:val="002F4198"/>
    <w:rsid w:val="002F79BE"/>
    <w:rsid w:val="003044EA"/>
    <w:rsid w:val="00307944"/>
    <w:rsid w:val="003219E4"/>
    <w:rsid w:val="00323DF0"/>
    <w:rsid w:val="0034091B"/>
    <w:rsid w:val="00340FD6"/>
    <w:rsid w:val="003429E5"/>
    <w:rsid w:val="00343113"/>
    <w:rsid w:val="00344CBF"/>
    <w:rsid w:val="0034505A"/>
    <w:rsid w:val="003469E5"/>
    <w:rsid w:val="00347BF3"/>
    <w:rsid w:val="003738D2"/>
    <w:rsid w:val="00373C5A"/>
    <w:rsid w:val="003836E3"/>
    <w:rsid w:val="00387A79"/>
    <w:rsid w:val="00390D9E"/>
    <w:rsid w:val="003A1EBB"/>
    <w:rsid w:val="003A218E"/>
    <w:rsid w:val="003B2E53"/>
    <w:rsid w:val="003B5B64"/>
    <w:rsid w:val="003C4942"/>
    <w:rsid w:val="003C4A73"/>
    <w:rsid w:val="003D2B70"/>
    <w:rsid w:val="003D2E57"/>
    <w:rsid w:val="003E6962"/>
    <w:rsid w:val="003F3829"/>
    <w:rsid w:val="003F4991"/>
    <w:rsid w:val="003F5E77"/>
    <w:rsid w:val="00400A27"/>
    <w:rsid w:val="004019B7"/>
    <w:rsid w:val="00406CC5"/>
    <w:rsid w:val="004100E5"/>
    <w:rsid w:val="004107FE"/>
    <w:rsid w:val="00411685"/>
    <w:rsid w:val="0043017D"/>
    <w:rsid w:val="0043278C"/>
    <w:rsid w:val="004353D0"/>
    <w:rsid w:val="00437FBF"/>
    <w:rsid w:val="00447E80"/>
    <w:rsid w:val="00455BC6"/>
    <w:rsid w:val="004570E9"/>
    <w:rsid w:val="00464BC3"/>
    <w:rsid w:val="0046592C"/>
    <w:rsid w:val="00466DD3"/>
    <w:rsid w:val="004748EF"/>
    <w:rsid w:val="004758A9"/>
    <w:rsid w:val="00480D86"/>
    <w:rsid w:val="00482C53"/>
    <w:rsid w:val="0048392F"/>
    <w:rsid w:val="004851FD"/>
    <w:rsid w:val="00485221"/>
    <w:rsid w:val="00485F98"/>
    <w:rsid w:val="00490E73"/>
    <w:rsid w:val="00494B8C"/>
    <w:rsid w:val="00495528"/>
    <w:rsid w:val="004A3560"/>
    <w:rsid w:val="004A39B8"/>
    <w:rsid w:val="004B09BE"/>
    <w:rsid w:val="004B592E"/>
    <w:rsid w:val="004C2267"/>
    <w:rsid w:val="004C2826"/>
    <w:rsid w:val="004C5A46"/>
    <w:rsid w:val="004C6373"/>
    <w:rsid w:val="004D5BCE"/>
    <w:rsid w:val="004E1B82"/>
    <w:rsid w:val="004E423F"/>
    <w:rsid w:val="004F4671"/>
    <w:rsid w:val="0052610A"/>
    <w:rsid w:val="0052663F"/>
    <w:rsid w:val="00533C18"/>
    <w:rsid w:val="00534787"/>
    <w:rsid w:val="005415E0"/>
    <w:rsid w:val="00542247"/>
    <w:rsid w:val="00542B4C"/>
    <w:rsid w:val="0054372A"/>
    <w:rsid w:val="005542AC"/>
    <w:rsid w:val="00555CF9"/>
    <w:rsid w:val="005600F8"/>
    <w:rsid w:val="005636DC"/>
    <w:rsid w:val="00566E44"/>
    <w:rsid w:val="00572814"/>
    <w:rsid w:val="005744F4"/>
    <w:rsid w:val="00576AB9"/>
    <w:rsid w:val="00577EB2"/>
    <w:rsid w:val="00577F87"/>
    <w:rsid w:val="00586C30"/>
    <w:rsid w:val="00595D86"/>
    <w:rsid w:val="005D16B4"/>
    <w:rsid w:val="005D3FA9"/>
    <w:rsid w:val="005D5067"/>
    <w:rsid w:val="005D78DB"/>
    <w:rsid w:val="005E0EDE"/>
    <w:rsid w:val="005E2B01"/>
    <w:rsid w:val="005F0A58"/>
    <w:rsid w:val="006038EE"/>
    <w:rsid w:val="006048BD"/>
    <w:rsid w:val="00611661"/>
    <w:rsid w:val="0061790A"/>
    <w:rsid w:val="006212B5"/>
    <w:rsid w:val="006266FD"/>
    <w:rsid w:val="00631EE1"/>
    <w:rsid w:val="00632E56"/>
    <w:rsid w:val="0063316E"/>
    <w:rsid w:val="00634167"/>
    <w:rsid w:val="0065344E"/>
    <w:rsid w:val="006544A0"/>
    <w:rsid w:val="00663A96"/>
    <w:rsid w:val="0066485F"/>
    <w:rsid w:val="00665B2F"/>
    <w:rsid w:val="00675028"/>
    <w:rsid w:val="006800F3"/>
    <w:rsid w:val="00681F29"/>
    <w:rsid w:val="006942AD"/>
    <w:rsid w:val="006A07AA"/>
    <w:rsid w:val="006A2CD4"/>
    <w:rsid w:val="006A7B10"/>
    <w:rsid w:val="006B1377"/>
    <w:rsid w:val="006B3B48"/>
    <w:rsid w:val="006C4093"/>
    <w:rsid w:val="006C79D3"/>
    <w:rsid w:val="006D0E12"/>
    <w:rsid w:val="006E56FE"/>
    <w:rsid w:val="006E68D8"/>
    <w:rsid w:val="006E7F24"/>
    <w:rsid w:val="006F185E"/>
    <w:rsid w:val="006F2B3D"/>
    <w:rsid w:val="006F3CA2"/>
    <w:rsid w:val="0071000C"/>
    <w:rsid w:val="0071434C"/>
    <w:rsid w:val="00722AE0"/>
    <w:rsid w:val="0073452D"/>
    <w:rsid w:val="00745B05"/>
    <w:rsid w:val="00760451"/>
    <w:rsid w:val="00766A36"/>
    <w:rsid w:val="00781075"/>
    <w:rsid w:val="007815FB"/>
    <w:rsid w:val="00787CF3"/>
    <w:rsid w:val="00791F58"/>
    <w:rsid w:val="00794372"/>
    <w:rsid w:val="007A7883"/>
    <w:rsid w:val="007C3351"/>
    <w:rsid w:val="007C3FC3"/>
    <w:rsid w:val="007C73B1"/>
    <w:rsid w:val="007C7518"/>
    <w:rsid w:val="007D0A88"/>
    <w:rsid w:val="007D6EAC"/>
    <w:rsid w:val="007D7CF3"/>
    <w:rsid w:val="007E12C5"/>
    <w:rsid w:val="007E44D1"/>
    <w:rsid w:val="007E4EE6"/>
    <w:rsid w:val="007F560A"/>
    <w:rsid w:val="007F610C"/>
    <w:rsid w:val="008038BB"/>
    <w:rsid w:val="008203D8"/>
    <w:rsid w:val="0082399A"/>
    <w:rsid w:val="008245C4"/>
    <w:rsid w:val="00826523"/>
    <w:rsid w:val="008343C8"/>
    <w:rsid w:val="0083605C"/>
    <w:rsid w:val="0084166D"/>
    <w:rsid w:val="00853AC5"/>
    <w:rsid w:val="00854BB4"/>
    <w:rsid w:val="00855D3A"/>
    <w:rsid w:val="0085616C"/>
    <w:rsid w:val="00856474"/>
    <w:rsid w:val="0086336C"/>
    <w:rsid w:val="008645D3"/>
    <w:rsid w:val="0086760C"/>
    <w:rsid w:val="00874421"/>
    <w:rsid w:val="008858FE"/>
    <w:rsid w:val="008A00C9"/>
    <w:rsid w:val="008A226A"/>
    <w:rsid w:val="008A2B40"/>
    <w:rsid w:val="008A6FBB"/>
    <w:rsid w:val="008B06BC"/>
    <w:rsid w:val="008B3DE2"/>
    <w:rsid w:val="008B421E"/>
    <w:rsid w:val="008B6267"/>
    <w:rsid w:val="008B6634"/>
    <w:rsid w:val="008B72AC"/>
    <w:rsid w:val="008C2A2A"/>
    <w:rsid w:val="008C2FAE"/>
    <w:rsid w:val="008C4816"/>
    <w:rsid w:val="008D4E2B"/>
    <w:rsid w:val="008E53FA"/>
    <w:rsid w:val="008F279B"/>
    <w:rsid w:val="0090077C"/>
    <w:rsid w:val="00912015"/>
    <w:rsid w:val="00912378"/>
    <w:rsid w:val="00913B9E"/>
    <w:rsid w:val="0092205F"/>
    <w:rsid w:val="009237A0"/>
    <w:rsid w:val="00924CCE"/>
    <w:rsid w:val="00931BB8"/>
    <w:rsid w:val="00942659"/>
    <w:rsid w:val="00947960"/>
    <w:rsid w:val="00947B60"/>
    <w:rsid w:val="00950992"/>
    <w:rsid w:val="00951C0F"/>
    <w:rsid w:val="00954AFE"/>
    <w:rsid w:val="00955E28"/>
    <w:rsid w:val="009647D1"/>
    <w:rsid w:val="00964AF5"/>
    <w:rsid w:val="00970FC5"/>
    <w:rsid w:val="00971672"/>
    <w:rsid w:val="0097500F"/>
    <w:rsid w:val="00976C6E"/>
    <w:rsid w:val="00981385"/>
    <w:rsid w:val="0098301D"/>
    <w:rsid w:val="00983099"/>
    <w:rsid w:val="00983612"/>
    <w:rsid w:val="00992AAE"/>
    <w:rsid w:val="00992E76"/>
    <w:rsid w:val="009964DD"/>
    <w:rsid w:val="009A242E"/>
    <w:rsid w:val="009A7058"/>
    <w:rsid w:val="009B2EAF"/>
    <w:rsid w:val="009B6282"/>
    <w:rsid w:val="009B74C4"/>
    <w:rsid w:val="009C7071"/>
    <w:rsid w:val="009D293D"/>
    <w:rsid w:val="009E0979"/>
    <w:rsid w:val="009E5E6C"/>
    <w:rsid w:val="009F02DB"/>
    <w:rsid w:val="009F3171"/>
    <w:rsid w:val="009F7227"/>
    <w:rsid w:val="009F7A35"/>
    <w:rsid w:val="00A00073"/>
    <w:rsid w:val="00A008D4"/>
    <w:rsid w:val="00A04B97"/>
    <w:rsid w:val="00A04F7C"/>
    <w:rsid w:val="00A2075F"/>
    <w:rsid w:val="00A23091"/>
    <w:rsid w:val="00A24585"/>
    <w:rsid w:val="00A24EB3"/>
    <w:rsid w:val="00A264C8"/>
    <w:rsid w:val="00A401D3"/>
    <w:rsid w:val="00A404A2"/>
    <w:rsid w:val="00A43D9C"/>
    <w:rsid w:val="00A562AD"/>
    <w:rsid w:val="00A63065"/>
    <w:rsid w:val="00A649FE"/>
    <w:rsid w:val="00A71FE3"/>
    <w:rsid w:val="00A903A0"/>
    <w:rsid w:val="00A9380B"/>
    <w:rsid w:val="00A9412D"/>
    <w:rsid w:val="00A963C5"/>
    <w:rsid w:val="00A966E2"/>
    <w:rsid w:val="00A973AE"/>
    <w:rsid w:val="00A97FDF"/>
    <w:rsid w:val="00AA5C22"/>
    <w:rsid w:val="00AB0937"/>
    <w:rsid w:val="00AB38F1"/>
    <w:rsid w:val="00AB44C0"/>
    <w:rsid w:val="00AC7ADC"/>
    <w:rsid w:val="00AD0B7F"/>
    <w:rsid w:val="00AD1D33"/>
    <w:rsid w:val="00AD6140"/>
    <w:rsid w:val="00AE022C"/>
    <w:rsid w:val="00AE498F"/>
    <w:rsid w:val="00AF35EE"/>
    <w:rsid w:val="00AF5795"/>
    <w:rsid w:val="00B22139"/>
    <w:rsid w:val="00B24EB2"/>
    <w:rsid w:val="00B254AE"/>
    <w:rsid w:val="00B3499B"/>
    <w:rsid w:val="00B44E4F"/>
    <w:rsid w:val="00B45D2C"/>
    <w:rsid w:val="00B54288"/>
    <w:rsid w:val="00B760E7"/>
    <w:rsid w:val="00B805E9"/>
    <w:rsid w:val="00B80634"/>
    <w:rsid w:val="00B85171"/>
    <w:rsid w:val="00B86E49"/>
    <w:rsid w:val="00B901F7"/>
    <w:rsid w:val="00B90AA4"/>
    <w:rsid w:val="00B96693"/>
    <w:rsid w:val="00BA45F1"/>
    <w:rsid w:val="00BA6633"/>
    <w:rsid w:val="00BB1A98"/>
    <w:rsid w:val="00BB2FE9"/>
    <w:rsid w:val="00BB4A06"/>
    <w:rsid w:val="00BB4E58"/>
    <w:rsid w:val="00BC3DC6"/>
    <w:rsid w:val="00BD49E8"/>
    <w:rsid w:val="00BE29B1"/>
    <w:rsid w:val="00BE36F9"/>
    <w:rsid w:val="00BE4D9C"/>
    <w:rsid w:val="00BF1D45"/>
    <w:rsid w:val="00BF3163"/>
    <w:rsid w:val="00C21A90"/>
    <w:rsid w:val="00C22C27"/>
    <w:rsid w:val="00C25FBE"/>
    <w:rsid w:val="00C326A0"/>
    <w:rsid w:val="00C42FA7"/>
    <w:rsid w:val="00C537EE"/>
    <w:rsid w:val="00C54B87"/>
    <w:rsid w:val="00C570BF"/>
    <w:rsid w:val="00C62289"/>
    <w:rsid w:val="00C63CB5"/>
    <w:rsid w:val="00C654DA"/>
    <w:rsid w:val="00C66648"/>
    <w:rsid w:val="00C73645"/>
    <w:rsid w:val="00C739A9"/>
    <w:rsid w:val="00C73F83"/>
    <w:rsid w:val="00C753D6"/>
    <w:rsid w:val="00C81C79"/>
    <w:rsid w:val="00C820B0"/>
    <w:rsid w:val="00C92ACD"/>
    <w:rsid w:val="00C94A39"/>
    <w:rsid w:val="00C963F9"/>
    <w:rsid w:val="00CA24A3"/>
    <w:rsid w:val="00CB689F"/>
    <w:rsid w:val="00CB7477"/>
    <w:rsid w:val="00CD0DEB"/>
    <w:rsid w:val="00CD599D"/>
    <w:rsid w:val="00CD703E"/>
    <w:rsid w:val="00CE071B"/>
    <w:rsid w:val="00CE1954"/>
    <w:rsid w:val="00CF24C8"/>
    <w:rsid w:val="00D11594"/>
    <w:rsid w:val="00D11A2C"/>
    <w:rsid w:val="00D12332"/>
    <w:rsid w:val="00D14336"/>
    <w:rsid w:val="00D22FC1"/>
    <w:rsid w:val="00D256CE"/>
    <w:rsid w:val="00D2713B"/>
    <w:rsid w:val="00D34834"/>
    <w:rsid w:val="00D35439"/>
    <w:rsid w:val="00D37EE0"/>
    <w:rsid w:val="00D545A5"/>
    <w:rsid w:val="00D545B4"/>
    <w:rsid w:val="00D610BB"/>
    <w:rsid w:val="00D628B4"/>
    <w:rsid w:val="00D64C63"/>
    <w:rsid w:val="00D6669D"/>
    <w:rsid w:val="00D66CCC"/>
    <w:rsid w:val="00D73ED8"/>
    <w:rsid w:val="00D75CF8"/>
    <w:rsid w:val="00D816A2"/>
    <w:rsid w:val="00D83BF2"/>
    <w:rsid w:val="00D907FA"/>
    <w:rsid w:val="00DA5518"/>
    <w:rsid w:val="00DA7D08"/>
    <w:rsid w:val="00DB111C"/>
    <w:rsid w:val="00DB2F28"/>
    <w:rsid w:val="00DB429D"/>
    <w:rsid w:val="00DB7E53"/>
    <w:rsid w:val="00DC157A"/>
    <w:rsid w:val="00DC1AF9"/>
    <w:rsid w:val="00DC20E1"/>
    <w:rsid w:val="00DC77EB"/>
    <w:rsid w:val="00DD4F21"/>
    <w:rsid w:val="00DD7D0C"/>
    <w:rsid w:val="00DE25FB"/>
    <w:rsid w:val="00DF28B6"/>
    <w:rsid w:val="00DF2E76"/>
    <w:rsid w:val="00DF5BCB"/>
    <w:rsid w:val="00E057B7"/>
    <w:rsid w:val="00E11369"/>
    <w:rsid w:val="00E13B1D"/>
    <w:rsid w:val="00E2095E"/>
    <w:rsid w:val="00E20B81"/>
    <w:rsid w:val="00E250F2"/>
    <w:rsid w:val="00E274A1"/>
    <w:rsid w:val="00E3121E"/>
    <w:rsid w:val="00E329A9"/>
    <w:rsid w:val="00E339DC"/>
    <w:rsid w:val="00E43C6E"/>
    <w:rsid w:val="00E43E99"/>
    <w:rsid w:val="00E566DE"/>
    <w:rsid w:val="00E644BD"/>
    <w:rsid w:val="00E70FAB"/>
    <w:rsid w:val="00E71463"/>
    <w:rsid w:val="00E7416B"/>
    <w:rsid w:val="00E82821"/>
    <w:rsid w:val="00E90338"/>
    <w:rsid w:val="00E970D1"/>
    <w:rsid w:val="00EC1DFF"/>
    <w:rsid w:val="00ED1CB0"/>
    <w:rsid w:val="00ED5949"/>
    <w:rsid w:val="00ED6478"/>
    <w:rsid w:val="00EE46E9"/>
    <w:rsid w:val="00F02DD3"/>
    <w:rsid w:val="00F235C5"/>
    <w:rsid w:val="00F26053"/>
    <w:rsid w:val="00F27BDD"/>
    <w:rsid w:val="00F32077"/>
    <w:rsid w:val="00F3552B"/>
    <w:rsid w:val="00F40F0D"/>
    <w:rsid w:val="00F417A8"/>
    <w:rsid w:val="00F43FD4"/>
    <w:rsid w:val="00F5050C"/>
    <w:rsid w:val="00F51852"/>
    <w:rsid w:val="00F55C7D"/>
    <w:rsid w:val="00F64AB3"/>
    <w:rsid w:val="00F675EC"/>
    <w:rsid w:val="00F701E9"/>
    <w:rsid w:val="00F70AC7"/>
    <w:rsid w:val="00F95337"/>
    <w:rsid w:val="00FA0D2D"/>
    <w:rsid w:val="00FA5EB1"/>
    <w:rsid w:val="00FA7673"/>
    <w:rsid w:val="00FA7708"/>
    <w:rsid w:val="00FA77FB"/>
    <w:rsid w:val="00FB039E"/>
    <w:rsid w:val="00FB18EF"/>
    <w:rsid w:val="00FB1CF3"/>
    <w:rsid w:val="00FB51DC"/>
    <w:rsid w:val="00FC1295"/>
    <w:rsid w:val="00FC13B9"/>
    <w:rsid w:val="00FC2CB6"/>
    <w:rsid w:val="00FC36C3"/>
    <w:rsid w:val="00FC389C"/>
    <w:rsid w:val="00FC5AA0"/>
    <w:rsid w:val="00FD62C8"/>
    <w:rsid w:val="00FE0FF6"/>
    <w:rsid w:val="00FF3074"/>
    <w:rsid w:val="00FF4728"/>
    <w:rsid w:val="00FF4FFC"/>
    <w:rsid w:val="00FF7F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6F3885"/>
  <w15:docId w15:val="{8B664939-04FE-4F37-B71D-CBEBC385D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5E77"/>
    <w:pPr>
      <w:overflowPunct w:val="0"/>
      <w:autoSpaceDE w:val="0"/>
      <w:autoSpaceDN w:val="0"/>
      <w:adjustRightInd w:val="0"/>
      <w:spacing w:after="180" w:line="240" w:lineRule="auto"/>
    </w:pPr>
    <w:rPr>
      <w:rFonts w:ascii="Times New Roman" w:hAnsi="Times New Roman" w:cs="Times New Roman"/>
      <w:sz w:val="20"/>
      <w:szCs w:val="20"/>
    </w:rPr>
  </w:style>
  <w:style w:type="paragraph" w:styleId="Heading1">
    <w:name w:val="heading 1"/>
    <w:aliases w:val="H1,h1,Heading 1 3GPP"/>
    <w:basedOn w:val="Header"/>
    <w:next w:val="Normal"/>
    <w:link w:val="Heading1Char"/>
    <w:autoRedefine/>
    <w:uiPriority w:val="9"/>
    <w:qFormat/>
    <w:rsid w:val="003F5E77"/>
    <w:pPr>
      <w:keepNext/>
      <w:keepLines/>
      <w:numPr>
        <w:numId w:val="1"/>
      </w:numPr>
      <w:pBdr>
        <w:top w:val="single" w:sz="12" w:space="3" w:color="auto"/>
      </w:pBdr>
      <w:spacing w:before="240" w:after="180"/>
      <w:jc w:val="both"/>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I2,Section Title,Heading2,list2,H2-Heading 2,Header2,22"/>
    <w:basedOn w:val="Heading1"/>
    <w:next w:val="Normal"/>
    <w:link w:val="Heading2Char"/>
    <w:unhideWhenUsed/>
    <w:qFormat/>
    <w:rsid w:val="003F5E77"/>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3F5E77"/>
    <w:pPr>
      <w:numPr>
        <w:ilvl w:val="2"/>
      </w:numPr>
      <w:spacing w:before="120"/>
      <w:outlineLvl w:val="2"/>
    </w:pPr>
    <w:rPr>
      <w:sz w:val="28"/>
    </w:rPr>
  </w:style>
  <w:style w:type="paragraph" w:styleId="Heading4">
    <w:name w:val="heading 4"/>
    <w:basedOn w:val="Normal"/>
    <w:next w:val="Normal"/>
    <w:link w:val="Heading4Char"/>
    <w:uiPriority w:val="9"/>
    <w:unhideWhenUsed/>
    <w:qFormat/>
    <w:rsid w:val="003F5E77"/>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3F5E77"/>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3F5E77"/>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3F5E77"/>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3F5E77"/>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3F5E77"/>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uiPriority w:val="9"/>
    <w:rsid w:val="003F5E77"/>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basedOn w:val="DefaultParagraphFont"/>
    <w:link w:val="Heading2"/>
    <w:rsid w:val="003F5E77"/>
    <w:rPr>
      <w:rFonts w:ascii="Arial" w:eastAsia="Arial" w:hAnsi="Arial" w:cs="Times New Roman"/>
      <w:noProof/>
      <w:sz w:val="32"/>
      <w:szCs w:val="20"/>
      <w:lang w:val="en-GB" w:eastAsia="x-none"/>
    </w:rPr>
  </w:style>
  <w:style w:type="character" w:customStyle="1" w:styleId="Heading3Char">
    <w:name w:val="Heading 3 Char"/>
    <w:aliases w:val="Heading 3 3GPP Char"/>
    <w:basedOn w:val="DefaultParagraphFont"/>
    <w:link w:val="Heading3"/>
    <w:uiPriority w:val="9"/>
    <w:rsid w:val="003F5E77"/>
    <w:rPr>
      <w:rFonts w:ascii="Arial" w:eastAsia="Arial" w:hAnsi="Arial" w:cs="Times New Roman"/>
      <w:noProof/>
      <w:sz w:val="28"/>
      <w:szCs w:val="20"/>
      <w:lang w:val="en-GB" w:eastAsia="x-none"/>
    </w:rPr>
  </w:style>
  <w:style w:type="character" w:customStyle="1" w:styleId="Heading4Char">
    <w:name w:val="Heading 4 Char"/>
    <w:basedOn w:val="DefaultParagraphFont"/>
    <w:link w:val="Heading4"/>
    <w:uiPriority w:val="9"/>
    <w:rsid w:val="003F5E77"/>
    <w:rPr>
      <w:rFonts w:ascii="Calibri" w:eastAsia="Times New Roman" w:hAnsi="Calibri" w:cs="Times New Roman"/>
      <w:b/>
      <w:bCs/>
      <w:sz w:val="28"/>
      <w:szCs w:val="28"/>
      <w:lang w:val="x-none" w:eastAsia="x-none"/>
    </w:rPr>
  </w:style>
  <w:style w:type="character" w:customStyle="1" w:styleId="Heading5Char">
    <w:name w:val="Heading 5 Char"/>
    <w:basedOn w:val="DefaultParagraphFont"/>
    <w:link w:val="Heading5"/>
    <w:uiPriority w:val="9"/>
    <w:rsid w:val="003F5E77"/>
    <w:rPr>
      <w:rFonts w:ascii="Cambria" w:eastAsia="SimSun" w:hAnsi="Cambria" w:cs="Times New Roman"/>
      <w:color w:val="243F60"/>
      <w:sz w:val="20"/>
      <w:szCs w:val="20"/>
      <w:lang w:val="x-none" w:eastAsia="x-none"/>
    </w:rPr>
  </w:style>
  <w:style w:type="character" w:customStyle="1" w:styleId="Heading6Char">
    <w:name w:val="Heading 6 Char"/>
    <w:basedOn w:val="DefaultParagraphFont"/>
    <w:link w:val="Heading6"/>
    <w:uiPriority w:val="9"/>
    <w:semiHidden/>
    <w:rsid w:val="003F5E77"/>
    <w:rPr>
      <w:rFonts w:ascii="Calibri" w:eastAsia="Times New Roman" w:hAnsi="Calibri" w:cs="Times New Roman"/>
      <w:b/>
      <w:bCs/>
      <w:lang w:val="x-none" w:eastAsia="x-none"/>
    </w:rPr>
  </w:style>
  <w:style w:type="character" w:customStyle="1" w:styleId="Heading7Char">
    <w:name w:val="Heading 7 Char"/>
    <w:basedOn w:val="DefaultParagraphFont"/>
    <w:link w:val="Heading7"/>
    <w:uiPriority w:val="9"/>
    <w:semiHidden/>
    <w:rsid w:val="003F5E77"/>
    <w:rPr>
      <w:rFonts w:ascii="Calibri" w:eastAsia="Times New Roman" w:hAnsi="Calibri" w:cs="Times New Roman"/>
      <w:sz w:val="24"/>
      <w:szCs w:val="24"/>
      <w:lang w:val="x-none" w:eastAsia="x-none"/>
    </w:rPr>
  </w:style>
  <w:style w:type="character" w:customStyle="1" w:styleId="Heading8Char">
    <w:name w:val="Heading 8 Char"/>
    <w:basedOn w:val="DefaultParagraphFont"/>
    <w:link w:val="Heading8"/>
    <w:uiPriority w:val="9"/>
    <w:semiHidden/>
    <w:rsid w:val="003F5E77"/>
    <w:rPr>
      <w:rFonts w:ascii="Calibri" w:eastAsia="Times New Roman" w:hAnsi="Calibri" w:cs="Times New Roman"/>
      <w:i/>
      <w:iCs/>
      <w:sz w:val="24"/>
      <w:szCs w:val="24"/>
      <w:lang w:val="x-none" w:eastAsia="x-none"/>
    </w:rPr>
  </w:style>
  <w:style w:type="character" w:customStyle="1" w:styleId="Heading9Char">
    <w:name w:val="Heading 9 Char"/>
    <w:basedOn w:val="DefaultParagraphFont"/>
    <w:link w:val="Heading9"/>
    <w:uiPriority w:val="9"/>
    <w:semiHidden/>
    <w:rsid w:val="003F5E77"/>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unhideWhenUsed/>
    <w:rsid w:val="003F5E77"/>
    <w:pPr>
      <w:widowControl w:val="0"/>
      <w:overflowPunct w:val="0"/>
      <w:autoSpaceDE w:val="0"/>
      <w:autoSpaceDN w:val="0"/>
      <w:adjustRightInd w:val="0"/>
      <w:spacing w:after="0" w:line="240" w:lineRule="auto"/>
    </w:pPr>
    <w:rPr>
      <w:rFonts w:ascii="Arial"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3F5E77"/>
    <w:rPr>
      <w:rFonts w:ascii="Arial" w:eastAsia="SimSun" w:hAnsi="Arial" w:cs="Times New Roman"/>
      <w:b/>
      <w:noProof/>
      <w:sz w:val="18"/>
      <w:szCs w:val="20"/>
    </w:rPr>
  </w:style>
  <w:style w:type="paragraph" w:customStyle="1" w:styleId="CRCoverPage">
    <w:name w:val="CR Cover Page"/>
    <w:rsid w:val="003F5E77"/>
    <w:pPr>
      <w:spacing w:after="120" w:line="240" w:lineRule="auto"/>
    </w:pPr>
    <w:rPr>
      <w:rFonts w:ascii="Arial" w:eastAsia="MS Mincho" w:hAnsi="Arial" w:cs="Times New Roman"/>
      <w:sz w:val="20"/>
      <w:szCs w:val="20"/>
      <w:lang w:val="en-GB"/>
    </w:rPr>
  </w:style>
  <w:style w:type="paragraph" w:customStyle="1" w:styleId="Recommend-1">
    <w:name w:val="Recommend-1"/>
    <w:basedOn w:val="Normal"/>
    <w:link w:val="Recommend-1Char"/>
    <w:qFormat/>
    <w:rsid w:val="003F5E77"/>
    <w:pPr>
      <w:numPr>
        <w:numId w:val="2"/>
      </w:numPr>
      <w:jc w:val="both"/>
    </w:pPr>
    <w:rPr>
      <w:lang w:eastAsia="x-none"/>
    </w:rPr>
  </w:style>
  <w:style w:type="character" w:customStyle="1" w:styleId="Recommend-1Char">
    <w:name w:val="Recommend-1 Char"/>
    <w:link w:val="Recommend-1"/>
    <w:rsid w:val="003F5E77"/>
    <w:rPr>
      <w:rFonts w:ascii="Times New Roman" w:eastAsia="SimSun" w:hAnsi="Times New Roman" w:cs="Times New Roman"/>
      <w:sz w:val="20"/>
      <w:szCs w:val="20"/>
      <w:lang w:eastAsia="x-none"/>
    </w:rPr>
  </w:style>
  <w:style w:type="paragraph" w:customStyle="1" w:styleId="Heading3Style">
    <w:name w:val="Heading 3 Style"/>
    <w:basedOn w:val="Heading3"/>
    <w:link w:val="Heading3StyleChar"/>
    <w:qFormat/>
    <w:rsid w:val="003F5E77"/>
    <w:pPr>
      <w:ind w:left="720"/>
    </w:pPr>
  </w:style>
  <w:style w:type="character" w:customStyle="1" w:styleId="Heading3StyleChar">
    <w:name w:val="Heading 3 Style Char"/>
    <w:link w:val="Heading3Style"/>
    <w:rsid w:val="003F5E77"/>
    <w:rPr>
      <w:rFonts w:ascii="Arial" w:eastAsia="Arial" w:hAnsi="Arial" w:cs="Times New Roman"/>
      <w:noProof/>
      <w:sz w:val="28"/>
      <w:szCs w:val="20"/>
      <w:lang w:val="en-GB" w:eastAsia="x-none"/>
    </w:rPr>
  </w:style>
  <w:style w:type="paragraph" w:styleId="TOC1">
    <w:name w:val="toc 1"/>
    <w:basedOn w:val="Normal"/>
    <w:next w:val="Normal"/>
    <w:autoRedefine/>
    <w:uiPriority w:val="39"/>
    <w:unhideWhenUsed/>
    <w:rsid w:val="00196EF2"/>
    <w:pPr>
      <w:tabs>
        <w:tab w:val="right" w:leader="dot" w:pos="9350"/>
      </w:tabs>
      <w:spacing w:after="100"/>
    </w:pPr>
  </w:style>
  <w:style w:type="paragraph" w:customStyle="1" w:styleId="Doc-text2">
    <w:name w:val="Doc-text2"/>
    <w:basedOn w:val="Normal"/>
    <w:link w:val="Doc-text2Char"/>
    <w:qFormat/>
    <w:rsid w:val="003F5E77"/>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rsid w:val="003F5E77"/>
    <w:rPr>
      <w:rFonts w:ascii="Arial" w:eastAsia="MS Mincho" w:hAnsi="Arial" w:cs="Times New Roman"/>
      <w:sz w:val="20"/>
      <w:szCs w:val="24"/>
      <w:lang w:val="en-GB" w:eastAsia="en-GB"/>
    </w:rPr>
  </w:style>
  <w:style w:type="paragraph" w:customStyle="1" w:styleId="Observationstyle">
    <w:name w:val="Observation style"/>
    <w:basedOn w:val="Normal"/>
    <w:link w:val="ObservationstyleChar"/>
    <w:qFormat/>
    <w:rsid w:val="003F5E77"/>
    <w:pPr>
      <w:numPr>
        <w:numId w:val="4"/>
      </w:numPr>
      <w:jc w:val="both"/>
    </w:pPr>
    <w:rPr>
      <w:lang w:eastAsia="x-none"/>
    </w:rPr>
  </w:style>
  <w:style w:type="character" w:customStyle="1" w:styleId="ObservationstyleChar">
    <w:name w:val="Observation style Char"/>
    <w:link w:val="Observationstyle"/>
    <w:rsid w:val="003F5E77"/>
    <w:rPr>
      <w:rFonts w:ascii="Times New Roman" w:eastAsia="SimSun" w:hAnsi="Times New Roman" w:cs="Times New Roman"/>
      <w:sz w:val="20"/>
      <w:szCs w:val="20"/>
      <w:lang w:eastAsia="x-none"/>
    </w:rPr>
  </w:style>
  <w:style w:type="paragraph" w:customStyle="1" w:styleId="Agreement">
    <w:name w:val="Agreement"/>
    <w:basedOn w:val="Normal"/>
    <w:next w:val="Doc-text2"/>
    <w:rsid w:val="003F5E77"/>
    <w:pPr>
      <w:numPr>
        <w:numId w:val="3"/>
      </w:numPr>
      <w:overflowPunct/>
      <w:autoSpaceDE/>
      <w:autoSpaceDN/>
      <w:adjustRightInd/>
      <w:spacing w:before="60" w:after="0"/>
    </w:pPr>
    <w:rPr>
      <w:rFonts w:ascii="Arial" w:eastAsia="MS Mincho" w:hAnsi="Arial"/>
      <w:b/>
      <w:szCs w:val="24"/>
      <w:lang w:val="en-GB" w:eastAsia="en-GB"/>
    </w:rPr>
  </w:style>
  <w:style w:type="paragraph" w:styleId="Caption">
    <w:name w:val="caption"/>
    <w:basedOn w:val="Normal"/>
    <w:next w:val="Normal"/>
    <w:uiPriority w:val="35"/>
    <w:unhideWhenUsed/>
    <w:qFormat/>
    <w:rsid w:val="00675028"/>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2A7F76"/>
    <w:rPr>
      <w:sz w:val="16"/>
      <w:szCs w:val="16"/>
    </w:rPr>
  </w:style>
  <w:style w:type="paragraph" w:styleId="CommentText">
    <w:name w:val="annotation text"/>
    <w:basedOn w:val="Normal"/>
    <w:link w:val="CommentTextChar"/>
    <w:uiPriority w:val="99"/>
    <w:unhideWhenUsed/>
    <w:rsid w:val="002A7F76"/>
  </w:style>
  <w:style w:type="character" w:customStyle="1" w:styleId="CommentTextChar">
    <w:name w:val="Comment Text Char"/>
    <w:basedOn w:val="DefaultParagraphFont"/>
    <w:link w:val="CommentText"/>
    <w:uiPriority w:val="99"/>
    <w:rsid w:val="002A7F76"/>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A7F76"/>
    <w:rPr>
      <w:b/>
      <w:bCs/>
    </w:rPr>
  </w:style>
  <w:style w:type="character" w:customStyle="1" w:styleId="CommentSubjectChar">
    <w:name w:val="Comment Subject Char"/>
    <w:basedOn w:val="CommentTextChar"/>
    <w:link w:val="CommentSubject"/>
    <w:uiPriority w:val="99"/>
    <w:semiHidden/>
    <w:rsid w:val="002A7F76"/>
    <w:rPr>
      <w:rFonts w:ascii="Times New Roman" w:eastAsia="SimSun" w:hAnsi="Times New Roman" w:cs="Times New Roman"/>
      <w:b/>
      <w:bCs/>
      <w:sz w:val="20"/>
      <w:szCs w:val="20"/>
    </w:rPr>
  </w:style>
  <w:style w:type="paragraph" w:styleId="BalloonText">
    <w:name w:val="Balloon Text"/>
    <w:basedOn w:val="Normal"/>
    <w:link w:val="BalloonTextChar"/>
    <w:uiPriority w:val="99"/>
    <w:semiHidden/>
    <w:unhideWhenUsed/>
    <w:rsid w:val="002A7F7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7F76"/>
    <w:rPr>
      <w:rFonts w:ascii="Segoe UI" w:eastAsia="SimSun" w:hAnsi="Segoe UI" w:cs="Segoe UI"/>
      <w:sz w:val="18"/>
      <w:szCs w:val="18"/>
    </w:rPr>
  </w:style>
  <w:style w:type="paragraph" w:styleId="ListParagraph">
    <w:name w:val="List Paragraph"/>
    <w:basedOn w:val="Normal"/>
    <w:uiPriority w:val="34"/>
    <w:qFormat/>
    <w:rsid w:val="003836E3"/>
    <w:pPr>
      <w:ind w:left="720"/>
      <w:contextualSpacing/>
    </w:pPr>
  </w:style>
  <w:style w:type="paragraph" w:styleId="Revision">
    <w:name w:val="Revision"/>
    <w:hidden/>
    <w:uiPriority w:val="99"/>
    <w:semiHidden/>
    <w:rsid w:val="00485F98"/>
    <w:pPr>
      <w:spacing w:after="0" w:line="240" w:lineRule="auto"/>
    </w:pPr>
    <w:rPr>
      <w:rFonts w:ascii="Times New Roman" w:hAnsi="Times New Roman" w:cs="Times New Roman"/>
      <w:sz w:val="20"/>
      <w:szCs w:val="20"/>
    </w:rPr>
  </w:style>
  <w:style w:type="table" w:styleId="TableGrid">
    <w:name w:val="Table Grid"/>
    <w:basedOn w:val="TableNormal"/>
    <w:uiPriority w:val="39"/>
    <w:rsid w:val="002A64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0B32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PLChar">
    <w:name w:val="PL Char"/>
    <w:link w:val="PL"/>
    <w:rsid w:val="000B328A"/>
    <w:rPr>
      <w:rFonts w:ascii="Courier New" w:eastAsia="Times New Roman" w:hAnsi="Courier New" w:cs="Times New Roman"/>
      <w:noProof/>
      <w:sz w:val="16"/>
      <w:szCs w:val="20"/>
      <w:lang w:val="en-GB"/>
    </w:rPr>
  </w:style>
  <w:style w:type="paragraph" w:customStyle="1" w:styleId="TAL">
    <w:name w:val="TAL"/>
    <w:basedOn w:val="Normal"/>
    <w:link w:val="TALCar"/>
    <w:rsid w:val="008B6634"/>
    <w:pPr>
      <w:keepNext/>
      <w:keepLines/>
      <w:spacing w:after="0"/>
      <w:textAlignment w:val="baseline"/>
    </w:pPr>
    <w:rPr>
      <w:rFonts w:ascii="Arial" w:eastAsia="Times New Roman" w:hAnsi="Arial"/>
      <w:sz w:val="18"/>
      <w:lang w:val="x-none" w:eastAsia="x-none"/>
    </w:rPr>
  </w:style>
  <w:style w:type="character" w:customStyle="1" w:styleId="TALCar">
    <w:name w:val="TAL Car"/>
    <w:link w:val="TAL"/>
    <w:rsid w:val="008B6634"/>
    <w:rPr>
      <w:rFonts w:ascii="Arial" w:eastAsia="Times New Roman" w:hAnsi="Arial" w:cs="Times New Roman"/>
      <w:sz w:val="1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8912412">
      <w:bodyDiv w:val="1"/>
      <w:marLeft w:val="0"/>
      <w:marRight w:val="0"/>
      <w:marTop w:val="0"/>
      <w:marBottom w:val="0"/>
      <w:divBdr>
        <w:top w:val="none" w:sz="0" w:space="0" w:color="auto"/>
        <w:left w:val="none" w:sz="0" w:space="0" w:color="auto"/>
        <w:bottom w:val="none" w:sz="0" w:space="0" w:color="auto"/>
        <w:right w:val="none" w:sz="0" w:space="0" w:color="auto"/>
      </w:divBdr>
    </w:div>
    <w:div w:id="1780907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2.xml"/><Relationship Id="rId7" Type="http://schemas.openxmlformats.org/officeDocument/2006/relationships/styles" Target="styl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2BA807-7E7D-48DE-99B2-242789F18965}">
  <ds:schemaRefs>
    <ds:schemaRef ds:uri="http://schemas.microsoft.com/sharepoint/v3/contenttype/forms"/>
  </ds:schemaRefs>
</ds:datastoreItem>
</file>

<file path=customXml/itemProps2.xml><?xml version="1.0" encoding="utf-8"?>
<ds:datastoreItem xmlns:ds="http://schemas.openxmlformats.org/officeDocument/2006/customXml" ds:itemID="{1C747104-0FCD-4B24-94CC-08FAC71414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684BA35-5D8A-4488-87C5-42BB9E0D961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82E14EA-4AFC-4DB4-AFAE-AF43B4F7E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1486</Words>
  <Characters>6981</Characters>
  <Application>Microsoft Office Word</Application>
  <DocSecurity>0</DocSecurity>
  <Lines>101</Lines>
  <Paragraphs>45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CTPClassification=CTP_IC:VisualMarkings=</cp:keywords>
  <dc:description/>
  <cp:lastModifiedBy>Intel</cp:lastModifiedBy>
  <cp:revision>4</cp:revision>
  <dcterms:created xsi:type="dcterms:W3CDTF">2017-09-29T04:05:00Z</dcterms:created>
  <dcterms:modified xsi:type="dcterms:W3CDTF">2017-09-29T06:24:00Z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ee05ad02-4517-4b8f-93c4-557dc331c2fa</vt:lpwstr>
  </property>
  <property fmtid="{D5CDD505-2E9C-101B-9397-08002B2CF9AE}" pid="4" name="CTP_BU">
    <vt:lpwstr>NEXT GEN AND STANDARDS GROUP</vt:lpwstr>
  </property>
  <property fmtid="{D5CDD505-2E9C-101B-9397-08002B2CF9AE}" pid="5" name="CTP_TimeStamp">
    <vt:lpwstr>2017-09-29 06:24:38Z</vt:lpwstr>
  </property>
  <property fmtid="{D5CDD505-2E9C-101B-9397-08002B2CF9AE}" pid="6" name="CTPClassification">
    <vt:lpwstr>CTP_IC</vt:lpwstr>
  </property>
</Properties>
</file>